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F91EB" w14:textId="77777777" w:rsidR="001427EE" w:rsidRPr="001427EE" w:rsidRDefault="001427EE" w:rsidP="00065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7EE">
        <w:rPr>
          <w:rFonts w:ascii="Times New Roman" w:hAnsi="Times New Roman" w:cs="Times New Roman"/>
          <w:b/>
          <w:bCs/>
          <w:sz w:val="28"/>
          <w:szCs w:val="28"/>
        </w:rPr>
        <w:t>WYKAZ WNIOSKÓW</w:t>
      </w:r>
    </w:p>
    <w:p w14:paraId="797234B3" w14:textId="5D28E773" w:rsidR="00630087" w:rsidRPr="00C87A69" w:rsidRDefault="001427EE" w:rsidP="000659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7A69">
        <w:rPr>
          <w:rFonts w:ascii="Times New Roman" w:hAnsi="Times New Roman" w:cs="Times New Roman"/>
          <w:b/>
          <w:bCs/>
        </w:rPr>
        <w:t>złożonych do miejscowego planu zagospodarowania przestrzennego</w:t>
      </w:r>
      <w:r w:rsidR="00C87A69" w:rsidRPr="00C87A69">
        <w:rPr>
          <w:rFonts w:ascii="Times New Roman" w:hAnsi="Times New Roman" w:cs="Times New Roman"/>
          <w:b/>
          <w:bCs/>
        </w:rPr>
        <w:t xml:space="preserve"> części miasta Trzemeszno przy ul. </w:t>
      </w:r>
      <w:proofErr w:type="spellStart"/>
      <w:r w:rsidR="00C87A69" w:rsidRPr="00C87A69">
        <w:rPr>
          <w:rFonts w:ascii="Times New Roman" w:hAnsi="Times New Roman" w:cs="Times New Roman"/>
          <w:b/>
          <w:bCs/>
        </w:rPr>
        <w:t>Foluskiej</w:t>
      </w:r>
      <w:proofErr w:type="spellEnd"/>
    </w:p>
    <w:p w14:paraId="0AB1F9E0" w14:textId="77777777" w:rsidR="001427EE" w:rsidRDefault="001427EE" w:rsidP="001427EE">
      <w:pPr>
        <w:rPr>
          <w:b/>
          <w:bCs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462"/>
        <w:gridCol w:w="1112"/>
        <w:gridCol w:w="2532"/>
        <w:gridCol w:w="1544"/>
        <w:gridCol w:w="1281"/>
        <w:gridCol w:w="1456"/>
        <w:gridCol w:w="7059"/>
      </w:tblGrid>
      <w:tr w:rsidR="001427EE" w14:paraId="5F782460" w14:textId="77777777" w:rsidTr="0006591E">
        <w:trPr>
          <w:tblHeader/>
        </w:trPr>
        <w:tc>
          <w:tcPr>
            <w:tcW w:w="462" w:type="dxa"/>
            <w:vMerge w:val="restart"/>
            <w:vAlign w:val="center"/>
          </w:tcPr>
          <w:p w14:paraId="1C1A6A39" w14:textId="29D550C2" w:rsidR="001427EE" w:rsidRPr="001436EB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6EB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112" w:type="dxa"/>
            <w:vMerge w:val="restart"/>
            <w:vAlign w:val="center"/>
          </w:tcPr>
          <w:p w14:paraId="4B5D7FF3" w14:textId="77777777" w:rsidR="001427EE" w:rsidRPr="001427EE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5D026E62" w14:textId="77777777" w:rsidR="001427EE" w:rsidRPr="001427EE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EE">
              <w:rPr>
                <w:rFonts w:ascii="Times New Roman" w:hAnsi="Times New Roman" w:cs="Times New Roman"/>
                <w:sz w:val="18"/>
                <w:szCs w:val="18"/>
              </w:rPr>
              <w:t>wpływu</w:t>
            </w:r>
          </w:p>
          <w:p w14:paraId="3C69D35D" w14:textId="41518F07" w:rsidR="001427EE" w:rsidRPr="001436EB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6EB">
              <w:rPr>
                <w:rFonts w:ascii="Times New Roman" w:hAnsi="Times New Roman" w:cs="Times New Roman"/>
                <w:sz w:val="18"/>
                <w:szCs w:val="18"/>
              </w:rPr>
              <w:t>wniosku</w:t>
            </w:r>
          </w:p>
        </w:tc>
        <w:tc>
          <w:tcPr>
            <w:tcW w:w="2532" w:type="dxa"/>
            <w:vMerge w:val="restart"/>
            <w:vAlign w:val="center"/>
          </w:tcPr>
          <w:p w14:paraId="0E861C27" w14:textId="77777777" w:rsidR="001427EE" w:rsidRPr="001427EE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EE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  <w:p w14:paraId="49F2C74E" w14:textId="77777777" w:rsidR="001427EE" w:rsidRPr="001427EE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EE">
              <w:rPr>
                <w:rFonts w:ascii="Times New Roman" w:hAnsi="Times New Roman" w:cs="Times New Roman"/>
                <w:sz w:val="18"/>
                <w:szCs w:val="18"/>
              </w:rPr>
              <w:t>albo nazwa</w:t>
            </w:r>
          </w:p>
          <w:p w14:paraId="01D4CB97" w14:textId="77777777" w:rsidR="001427EE" w:rsidRPr="001427EE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EE">
              <w:rPr>
                <w:rFonts w:ascii="Times New Roman" w:hAnsi="Times New Roman" w:cs="Times New Roman"/>
                <w:sz w:val="18"/>
                <w:szCs w:val="18"/>
              </w:rPr>
              <w:t>jednostki</w:t>
            </w:r>
          </w:p>
          <w:p w14:paraId="42DE7BA4" w14:textId="5B930192" w:rsidR="001427EE" w:rsidRPr="001436EB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6EB">
              <w:rPr>
                <w:rFonts w:ascii="Times New Roman" w:hAnsi="Times New Roman" w:cs="Times New Roman"/>
                <w:sz w:val="18"/>
                <w:szCs w:val="18"/>
              </w:rPr>
              <w:t>organizacyjnej</w:t>
            </w:r>
          </w:p>
        </w:tc>
        <w:tc>
          <w:tcPr>
            <w:tcW w:w="1544" w:type="dxa"/>
            <w:vMerge w:val="restart"/>
            <w:vAlign w:val="center"/>
          </w:tcPr>
          <w:p w14:paraId="2B9D37B3" w14:textId="77777777" w:rsidR="001427EE" w:rsidRPr="001436EB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6EB">
              <w:rPr>
                <w:rFonts w:ascii="Times New Roman" w:hAnsi="Times New Roman" w:cs="Times New Roman"/>
                <w:sz w:val="18"/>
                <w:szCs w:val="18"/>
              </w:rPr>
              <w:t>Oznaczenie</w:t>
            </w:r>
          </w:p>
          <w:p w14:paraId="496E8EFD" w14:textId="77777777" w:rsidR="001427EE" w:rsidRPr="001436EB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6EB">
              <w:rPr>
                <w:rFonts w:ascii="Times New Roman" w:hAnsi="Times New Roman" w:cs="Times New Roman"/>
                <w:sz w:val="18"/>
                <w:szCs w:val="18"/>
              </w:rPr>
              <w:t>obszaru,</w:t>
            </w:r>
          </w:p>
          <w:p w14:paraId="31706C42" w14:textId="77777777" w:rsidR="001427EE" w:rsidRPr="001436EB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6EB">
              <w:rPr>
                <w:rFonts w:ascii="Times New Roman" w:hAnsi="Times New Roman" w:cs="Times New Roman"/>
                <w:sz w:val="18"/>
                <w:szCs w:val="18"/>
              </w:rPr>
              <w:t>którego dotyczy</w:t>
            </w:r>
          </w:p>
          <w:p w14:paraId="6C3A08C9" w14:textId="40F5EC7B" w:rsidR="001427EE" w:rsidRPr="001436EB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6EB">
              <w:rPr>
                <w:rFonts w:ascii="Times New Roman" w:hAnsi="Times New Roman" w:cs="Times New Roman"/>
                <w:sz w:val="18"/>
                <w:szCs w:val="18"/>
              </w:rPr>
              <w:t>wniosek</w:t>
            </w:r>
          </w:p>
        </w:tc>
        <w:tc>
          <w:tcPr>
            <w:tcW w:w="2737" w:type="dxa"/>
            <w:gridSpan w:val="2"/>
            <w:vAlign w:val="center"/>
          </w:tcPr>
          <w:p w14:paraId="25347C89" w14:textId="4496AE78" w:rsidR="001427EE" w:rsidRPr="001436EB" w:rsidRDefault="001427EE" w:rsidP="00065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EE">
              <w:rPr>
                <w:rFonts w:ascii="Times New Roman" w:hAnsi="Times New Roman" w:cs="Times New Roman"/>
                <w:sz w:val="18"/>
                <w:szCs w:val="18"/>
              </w:rPr>
              <w:t>Sposób rozpatrzenia wniosku przez</w:t>
            </w:r>
            <w:r w:rsidR="0006591E"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  <w:r w:rsidRPr="001427EE">
              <w:rPr>
                <w:rFonts w:ascii="Times New Roman" w:hAnsi="Times New Roman" w:cs="Times New Roman"/>
                <w:sz w:val="18"/>
                <w:szCs w:val="18"/>
              </w:rPr>
              <w:t>urmistrza</w:t>
            </w:r>
          </w:p>
        </w:tc>
        <w:tc>
          <w:tcPr>
            <w:tcW w:w="7059" w:type="dxa"/>
            <w:vMerge w:val="restart"/>
            <w:vAlign w:val="center"/>
          </w:tcPr>
          <w:p w14:paraId="699A4C90" w14:textId="3B699A2B" w:rsidR="001427EE" w:rsidRPr="001436EB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6EB"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</w:tr>
      <w:tr w:rsidR="00E25199" w14:paraId="50AB3C31" w14:textId="77777777" w:rsidTr="0006591E">
        <w:trPr>
          <w:tblHeader/>
        </w:trPr>
        <w:tc>
          <w:tcPr>
            <w:tcW w:w="462" w:type="dxa"/>
            <w:vMerge/>
          </w:tcPr>
          <w:p w14:paraId="1F185E94" w14:textId="77777777" w:rsidR="001427EE" w:rsidRPr="001436EB" w:rsidRDefault="001427EE" w:rsidP="001427EE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vMerge/>
          </w:tcPr>
          <w:p w14:paraId="04F1163B" w14:textId="77777777" w:rsidR="001427EE" w:rsidRPr="001436EB" w:rsidRDefault="001427EE" w:rsidP="001427EE"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vMerge/>
          </w:tcPr>
          <w:p w14:paraId="2FEE8D55" w14:textId="77777777" w:rsidR="001427EE" w:rsidRPr="001436EB" w:rsidRDefault="001427EE" w:rsidP="001427E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</w:tcPr>
          <w:p w14:paraId="6DB0BCAF" w14:textId="0A2A26ED" w:rsidR="001427EE" w:rsidRPr="001436EB" w:rsidRDefault="001427EE" w:rsidP="001427EE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0B23BCFE" w14:textId="77777777" w:rsidR="001427EE" w:rsidRPr="001427EE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EE">
              <w:rPr>
                <w:rFonts w:ascii="Times New Roman" w:hAnsi="Times New Roman" w:cs="Times New Roman"/>
                <w:sz w:val="18"/>
                <w:szCs w:val="18"/>
              </w:rPr>
              <w:t>wniosek</w:t>
            </w:r>
          </w:p>
          <w:p w14:paraId="3043785E" w14:textId="75161D3C" w:rsidR="001427EE" w:rsidRPr="001436EB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6EB">
              <w:rPr>
                <w:rFonts w:ascii="Times New Roman" w:hAnsi="Times New Roman" w:cs="Times New Roman"/>
                <w:sz w:val="18"/>
                <w:szCs w:val="18"/>
              </w:rPr>
              <w:t>uwzględniony</w:t>
            </w:r>
          </w:p>
        </w:tc>
        <w:tc>
          <w:tcPr>
            <w:tcW w:w="1456" w:type="dxa"/>
            <w:vAlign w:val="center"/>
          </w:tcPr>
          <w:p w14:paraId="3A5C862F" w14:textId="77777777" w:rsidR="001427EE" w:rsidRPr="001427EE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7EE">
              <w:rPr>
                <w:rFonts w:ascii="Times New Roman" w:hAnsi="Times New Roman" w:cs="Times New Roman"/>
                <w:sz w:val="18"/>
                <w:szCs w:val="18"/>
              </w:rPr>
              <w:t>wniosek</w:t>
            </w:r>
          </w:p>
          <w:p w14:paraId="276D6C1E" w14:textId="0A949B62" w:rsidR="001427EE" w:rsidRPr="001436EB" w:rsidRDefault="001427EE" w:rsidP="00142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6EB">
              <w:rPr>
                <w:rFonts w:ascii="Times New Roman" w:hAnsi="Times New Roman" w:cs="Times New Roman"/>
                <w:sz w:val="18"/>
                <w:szCs w:val="18"/>
              </w:rPr>
              <w:t>nieuwzględniony</w:t>
            </w:r>
          </w:p>
        </w:tc>
        <w:tc>
          <w:tcPr>
            <w:tcW w:w="7059" w:type="dxa"/>
            <w:vMerge/>
          </w:tcPr>
          <w:p w14:paraId="2BD976B1" w14:textId="77777777" w:rsidR="001427EE" w:rsidRPr="001436EB" w:rsidRDefault="001427EE" w:rsidP="001427EE">
            <w:pPr>
              <w:rPr>
                <w:sz w:val="18"/>
                <w:szCs w:val="18"/>
              </w:rPr>
            </w:pPr>
          </w:p>
        </w:tc>
      </w:tr>
      <w:tr w:rsidR="00E25199" w14:paraId="0D0E64D8" w14:textId="77777777" w:rsidTr="0006591E">
        <w:trPr>
          <w:tblHeader/>
        </w:trPr>
        <w:tc>
          <w:tcPr>
            <w:tcW w:w="462" w:type="dxa"/>
            <w:vAlign w:val="center"/>
          </w:tcPr>
          <w:p w14:paraId="5431001D" w14:textId="77777777" w:rsidR="001427EE" w:rsidRPr="001436EB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76DE29FB" w14:textId="77777777" w:rsidR="001427EE" w:rsidRPr="001436EB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2" w:type="dxa"/>
            <w:vAlign w:val="center"/>
          </w:tcPr>
          <w:p w14:paraId="43FD6D08" w14:textId="77777777" w:rsidR="001427EE" w:rsidRPr="001436EB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6C4CA6A4" w14:textId="77777777" w:rsidR="001427EE" w:rsidRPr="001436EB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53A1E081" w14:textId="77777777" w:rsidR="001427EE" w:rsidRPr="001436EB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042EA9AE" w14:textId="77777777" w:rsidR="001427EE" w:rsidRPr="001436EB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9" w:type="dxa"/>
            <w:vAlign w:val="center"/>
          </w:tcPr>
          <w:p w14:paraId="0D303282" w14:textId="77777777" w:rsidR="001427EE" w:rsidRPr="001436EB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67A" w14:paraId="7F5D1629" w14:textId="77777777" w:rsidTr="0006591E">
        <w:tc>
          <w:tcPr>
            <w:tcW w:w="462" w:type="dxa"/>
          </w:tcPr>
          <w:p w14:paraId="5D800587" w14:textId="77777777" w:rsidR="0040567A" w:rsidRPr="001436EB" w:rsidRDefault="0040567A" w:rsidP="004056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14:paraId="1361026F" w14:textId="0B467813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21.06.24</w:t>
            </w:r>
          </w:p>
        </w:tc>
        <w:tc>
          <w:tcPr>
            <w:tcW w:w="2532" w:type="dxa"/>
          </w:tcPr>
          <w:p w14:paraId="6A14A341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Polska Spółka Gazownictwa sp. Z o.o. </w:t>
            </w:r>
          </w:p>
          <w:p w14:paraId="1DF1D757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Oddział Zakład Gazowniczy w Poznaniu </w:t>
            </w:r>
          </w:p>
          <w:p w14:paraId="0BA70F81" w14:textId="579666A3" w:rsidR="0040567A" w:rsidRDefault="00F35665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40567A">
              <w:rPr>
                <w:rFonts w:ascii="Times New Roman" w:hAnsi="Times New Roman" w:cs="Times New Roman"/>
                <w:sz w:val="18"/>
                <w:szCs w:val="18"/>
              </w:rPr>
              <w:t xml:space="preserve">l. Za Groblą 8, 61-860 Poznań </w:t>
            </w:r>
          </w:p>
        </w:tc>
        <w:tc>
          <w:tcPr>
            <w:tcW w:w="1544" w:type="dxa"/>
          </w:tcPr>
          <w:p w14:paraId="230A7DAA" w14:textId="54E6E2DC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Cały obszar planu </w:t>
            </w:r>
          </w:p>
        </w:tc>
        <w:tc>
          <w:tcPr>
            <w:tcW w:w="1281" w:type="dxa"/>
          </w:tcPr>
          <w:p w14:paraId="6483A644" w14:textId="05440BB6" w:rsidR="0040567A" w:rsidRDefault="0006591E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56" w:type="dxa"/>
          </w:tcPr>
          <w:p w14:paraId="298E71CB" w14:textId="1BD298D8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9" w:type="dxa"/>
          </w:tcPr>
          <w:p w14:paraId="4C868281" w14:textId="77777777" w:rsidR="0040567A" w:rsidRDefault="00EF0055" w:rsidP="00BB5D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 przedmiotowym terenie PSG nie posiada infrastruktury gazowej. </w:t>
            </w:r>
          </w:p>
          <w:p w14:paraId="58B05295" w14:textId="1E5FFE33" w:rsidR="00BB5D9E" w:rsidRDefault="00BB5D9E" w:rsidP="000659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BB5D9E">
              <w:rPr>
                <w:rFonts w:ascii="Times New Roman" w:hAnsi="Times New Roman" w:cs="Times New Roman"/>
                <w:sz w:val="18"/>
                <w:szCs w:val="18"/>
              </w:rPr>
              <w:t xml:space="preserve">aopatrzenie w gaz ziemny może być realizowane poprzez budowę dystrybucyjnej sieci gazowej pod warunkiem spełnienia warunków technicznych i ekonomicznych przyłączenia, na zasadach określonych przez operatora systemu dystrybucyjnego, zgodnie z przepisami wynikającymi z Ustawy Prawo Budowlane z dnia 7 lipca 1994 r. (Dz.U. 1994 nr 89 poz. 414 wraz z późniejszymi zmianami) oraz Ustawy Prawo Energetyczne z dnia 10 kwietnia 1997r. (Dz.U. 1997 nr 54 poz. 348 wraz z późniejszymi zmianami). Zgodnie z przepisami wynikającymi z Rozporządzenia Ministra Gospodarki z dnia 26 kwietnia 2013 r. w sprawie warunków technicznych, jakim powinny odpowiadać sieci gazowe i ich usytuowanie (Dz.U. 2013 poz. 640) oraz norma PN-91/M-34501 ustala się strefy kontrolowane dla istniejących lub nowych sieci gazowych. W strefach kontrolowanych nie należy wznosić budynków, urządzać stałych składów i magazynów, sadzić drzew i krzewów oraz podejmować działalności mogącej zagrozić trwałości gazociągu podczas jego eksploatacji. Ponadto przy scalaniu lub podziale nieruchomości gruntowych lub działek objętych planem należy przewidzieć dostępność do infrastruktury technicznej. W strefie kontrolowanej istniejących gazociągów dopuszcza się budowę nowych sieci gazowych. Proces przyłączeniowy, uwzględniający rozbudowę sieci celem przyłączenia poszczególnych obiektów, należy realizować zgodnie z warunkami przyłączenia do sieci gazowej wydanymi przez operatora sieci i dalej umów o przyłączenie do sieci gazowej. </w:t>
            </w:r>
          </w:p>
        </w:tc>
      </w:tr>
      <w:tr w:rsidR="0040567A" w14:paraId="1B155289" w14:textId="77777777" w:rsidTr="0006591E">
        <w:tc>
          <w:tcPr>
            <w:tcW w:w="462" w:type="dxa"/>
          </w:tcPr>
          <w:p w14:paraId="372CB1B2" w14:textId="77777777" w:rsidR="0040567A" w:rsidRPr="001436EB" w:rsidRDefault="0040567A" w:rsidP="004056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14:paraId="48A9DC92" w14:textId="5783101B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24.06.24</w:t>
            </w:r>
          </w:p>
        </w:tc>
        <w:tc>
          <w:tcPr>
            <w:tcW w:w="2532" w:type="dxa"/>
          </w:tcPr>
          <w:p w14:paraId="37FE168B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Państwowe Gospodarstwo Wodne Wody Polskie </w:t>
            </w:r>
          </w:p>
          <w:p w14:paraId="2124EAD9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Zarząd Zlewni w Poznaniu </w:t>
            </w:r>
          </w:p>
          <w:p w14:paraId="377F9DE3" w14:textId="7C38D0CF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Szewska 1, 61-760 Poznań </w:t>
            </w:r>
          </w:p>
        </w:tc>
        <w:tc>
          <w:tcPr>
            <w:tcW w:w="1544" w:type="dxa"/>
          </w:tcPr>
          <w:p w14:paraId="35D8E6EE" w14:textId="39554919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Cały obszar planu </w:t>
            </w:r>
          </w:p>
        </w:tc>
        <w:tc>
          <w:tcPr>
            <w:tcW w:w="1281" w:type="dxa"/>
          </w:tcPr>
          <w:p w14:paraId="5D200DA7" w14:textId="2AA79BE7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14:paraId="31B8ADAA" w14:textId="7B14C45B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9" w:type="dxa"/>
          </w:tcPr>
          <w:p w14:paraId="14EB1F1D" w14:textId="2BB3531D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Dyrektor Zarządu Zlewni Wód Polskich w Poznaniu przekazuje do organu właściwego - Dyrektora zarządu Zlewni Wód Polskich w Inowrocławiu, zawiadomienie Burmistrza Trzemeszna o przystąpieniu do sporządzeniu planu. </w:t>
            </w:r>
          </w:p>
        </w:tc>
      </w:tr>
      <w:tr w:rsidR="0040567A" w14:paraId="49E00B6C" w14:textId="77777777" w:rsidTr="0006591E">
        <w:tc>
          <w:tcPr>
            <w:tcW w:w="462" w:type="dxa"/>
          </w:tcPr>
          <w:p w14:paraId="6C86C6D8" w14:textId="77777777" w:rsidR="0040567A" w:rsidRPr="001436EB" w:rsidRDefault="0040567A" w:rsidP="004056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14:paraId="09874E53" w14:textId="11EAFD67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27.06.24</w:t>
            </w:r>
          </w:p>
        </w:tc>
        <w:tc>
          <w:tcPr>
            <w:tcW w:w="2532" w:type="dxa"/>
          </w:tcPr>
          <w:p w14:paraId="4D9DBBF9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PSE  Polskie Sieci Elektroenergetyczne S.A. w Poznaniu </w:t>
            </w:r>
          </w:p>
          <w:p w14:paraId="26D47163" w14:textId="77528839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Marcelińska 71, 60-354 Poznań </w:t>
            </w:r>
          </w:p>
        </w:tc>
        <w:tc>
          <w:tcPr>
            <w:tcW w:w="1544" w:type="dxa"/>
          </w:tcPr>
          <w:p w14:paraId="3F0EB563" w14:textId="7C35F4B6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Cały obszar planu </w:t>
            </w:r>
          </w:p>
        </w:tc>
        <w:tc>
          <w:tcPr>
            <w:tcW w:w="1281" w:type="dxa"/>
          </w:tcPr>
          <w:p w14:paraId="32516950" w14:textId="63A7A413" w:rsidR="0040567A" w:rsidRDefault="0006591E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56" w:type="dxa"/>
          </w:tcPr>
          <w:p w14:paraId="7841ED70" w14:textId="5927861E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9" w:type="dxa"/>
          </w:tcPr>
          <w:p w14:paraId="0A1B10D0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granicach obszaru opracowania nie ma i nie przewiduje się nowych obiektów elektroenergetycznych (stacji linii o napięciu 400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200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krajowej sieci przesyłowej. W przypadku obiektów o napięciu 110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niższym opinię wydaje lokalna spółka dystrybucyjna. </w:t>
            </w:r>
          </w:p>
          <w:p w14:paraId="143ED78D" w14:textId="257F03D8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Jednocześnie proszą o przesyłanie projektu w formie załącznika do pism. </w:t>
            </w:r>
          </w:p>
        </w:tc>
      </w:tr>
      <w:tr w:rsidR="0040567A" w14:paraId="49CB577D" w14:textId="77777777" w:rsidTr="0006591E">
        <w:tc>
          <w:tcPr>
            <w:tcW w:w="462" w:type="dxa"/>
          </w:tcPr>
          <w:p w14:paraId="4F3CB093" w14:textId="77777777" w:rsidR="0040567A" w:rsidRPr="001436EB" w:rsidRDefault="0040567A" w:rsidP="004056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14:paraId="664EC999" w14:textId="30EBF18D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27.06.24</w:t>
            </w:r>
          </w:p>
        </w:tc>
        <w:tc>
          <w:tcPr>
            <w:tcW w:w="2532" w:type="dxa"/>
          </w:tcPr>
          <w:p w14:paraId="4F82CD88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Państwowy Powiatowy Inspektor Sanitarny w Gnieźnie </w:t>
            </w:r>
          </w:p>
          <w:p w14:paraId="7798D662" w14:textId="52B6E000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Św. Wawrzyńca 18, 62-200 Gnieźnie </w:t>
            </w:r>
          </w:p>
        </w:tc>
        <w:tc>
          <w:tcPr>
            <w:tcW w:w="1544" w:type="dxa"/>
          </w:tcPr>
          <w:p w14:paraId="3D656BB5" w14:textId="07DFFF3E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Cały obszar planu </w:t>
            </w:r>
          </w:p>
        </w:tc>
        <w:tc>
          <w:tcPr>
            <w:tcW w:w="1281" w:type="dxa"/>
          </w:tcPr>
          <w:p w14:paraId="76E1CD33" w14:textId="268DDCBC" w:rsidR="0040567A" w:rsidRDefault="00D0345F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56" w:type="dxa"/>
          </w:tcPr>
          <w:p w14:paraId="4F8A248C" w14:textId="77777777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9" w:type="dxa"/>
          </w:tcPr>
          <w:p w14:paraId="01A8F4FE" w14:textId="6C98814C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Pismem z dnia 27.06.2024 r. zatwierdził stopień i zakres szczegółowości prognozy oddziaływania na środowisko. </w:t>
            </w:r>
          </w:p>
        </w:tc>
      </w:tr>
      <w:tr w:rsidR="0040567A" w14:paraId="61FF3721" w14:textId="77777777" w:rsidTr="0006591E">
        <w:tc>
          <w:tcPr>
            <w:tcW w:w="462" w:type="dxa"/>
          </w:tcPr>
          <w:p w14:paraId="62793332" w14:textId="77777777" w:rsidR="0040567A" w:rsidRPr="001436EB" w:rsidRDefault="0040567A" w:rsidP="004056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14:paraId="5EADEA8A" w14:textId="28F05381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01.07.24</w:t>
            </w:r>
          </w:p>
        </w:tc>
        <w:tc>
          <w:tcPr>
            <w:tcW w:w="2532" w:type="dxa"/>
          </w:tcPr>
          <w:p w14:paraId="53531215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Urząd Marszałkowski Województwa Wielkopolskiego w Poznaniu </w:t>
            </w:r>
          </w:p>
          <w:p w14:paraId="44A347F6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Departament Infrastruktury</w:t>
            </w:r>
          </w:p>
          <w:p w14:paraId="1A84712F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Al. Niepodległości 34, </w:t>
            </w:r>
          </w:p>
          <w:p w14:paraId="510BA71E" w14:textId="03357C3C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61-714 Poznań </w:t>
            </w:r>
          </w:p>
        </w:tc>
        <w:tc>
          <w:tcPr>
            <w:tcW w:w="1544" w:type="dxa"/>
          </w:tcPr>
          <w:p w14:paraId="471714D2" w14:textId="16091901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Cały obszar planu </w:t>
            </w:r>
          </w:p>
        </w:tc>
        <w:tc>
          <w:tcPr>
            <w:tcW w:w="1281" w:type="dxa"/>
          </w:tcPr>
          <w:p w14:paraId="5B869DD8" w14:textId="314E4A90" w:rsidR="0040567A" w:rsidRDefault="0006591E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56" w:type="dxa"/>
          </w:tcPr>
          <w:p w14:paraId="56625457" w14:textId="34631BA0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9" w:type="dxa"/>
          </w:tcPr>
          <w:p w14:paraId="154A6486" w14:textId="05CFD06C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 wynikami Audytu krajobrazowego województwa wielkopolskiego, zatwierdzonego uchwała nr LI/1000/23 Sejmiku Województwa Wielkopolskiego z dnia 27 marca 2023 r., teren objęty przedmiotowym przystąpieniem nie znajduje się w krajobrazie priorytetowym i w krajobrazach w obrębie obszarów prawnie chronionych. W związku z tym, nie określa się rekomendacji i wniosków, dotyczących kierunków i zasad kształtowania zabudowy, zagospodarowania i użytkowania terenów. </w:t>
            </w:r>
          </w:p>
        </w:tc>
      </w:tr>
      <w:tr w:rsidR="0040567A" w14:paraId="40D545AA" w14:textId="77777777" w:rsidTr="0006591E">
        <w:tc>
          <w:tcPr>
            <w:tcW w:w="462" w:type="dxa"/>
          </w:tcPr>
          <w:p w14:paraId="7CFDA23D" w14:textId="77777777" w:rsidR="0040567A" w:rsidRPr="001436EB" w:rsidRDefault="0040567A" w:rsidP="004056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14:paraId="2945F812" w14:textId="0166DFCA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01.07.24</w:t>
            </w:r>
          </w:p>
        </w:tc>
        <w:tc>
          <w:tcPr>
            <w:tcW w:w="2532" w:type="dxa"/>
          </w:tcPr>
          <w:p w14:paraId="62A409A5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Urząd Marszałkowski Województwa Wielkopolskiego w Poznaniu </w:t>
            </w:r>
          </w:p>
          <w:p w14:paraId="4A12E0CC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Departament Infrastruktury</w:t>
            </w:r>
          </w:p>
          <w:p w14:paraId="5146DFF4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Al. Niepodległości 34, </w:t>
            </w:r>
          </w:p>
          <w:p w14:paraId="7C4A9264" w14:textId="270A786C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61-714 Poznań </w:t>
            </w:r>
          </w:p>
        </w:tc>
        <w:tc>
          <w:tcPr>
            <w:tcW w:w="1544" w:type="dxa"/>
          </w:tcPr>
          <w:p w14:paraId="53DF0DF3" w14:textId="57BA8679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Cały obszar planu </w:t>
            </w:r>
          </w:p>
        </w:tc>
        <w:tc>
          <w:tcPr>
            <w:tcW w:w="1281" w:type="dxa"/>
          </w:tcPr>
          <w:p w14:paraId="2F26F46D" w14:textId="6ED5C71A" w:rsidR="0040567A" w:rsidRDefault="0024638B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56" w:type="dxa"/>
          </w:tcPr>
          <w:p w14:paraId="047BC893" w14:textId="4C4D767A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9" w:type="dxa"/>
          </w:tcPr>
          <w:p w14:paraId="161C550E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Informacje wynikające z ustaleń obowiązującego Planu zagospodarowania województwa wielkopolskiego wraz z Planem zagospodarowania przestrzennego miejskiego obszaru funkcjonalnego Poznania, zatwierdzonego Uchwałą nr V/70/19 Sejmiku Województwa Wielkopolskiego z dnia 25 marca 2019 r. (Dz. Urz. Woj. Wlkp. Z 2019 r., poz. 4021), dla terenu objętego powyższym przystąpieniem zawarte są w piśmie nr DI-IV.7634.695.2024, które załączono do wniosku. </w:t>
            </w:r>
          </w:p>
          <w:p w14:paraId="528E0D36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586CBF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Załącznik: </w:t>
            </w:r>
          </w:p>
          <w:p w14:paraId="3192BCE2" w14:textId="305266B8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opracowaniu powinny zostać uwzględnione następujące zadania: </w:t>
            </w:r>
          </w:p>
          <w:p w14:paraId="248E0FCE" w14:textId="77777777" w:rsidR="0040567A" w:rsidRDefault="0040567A" w:rsidP="0040567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Ustalenia Planu zagospodarowania przestrzennego województwa wielkopolskiego. </w:t>
            </w:r>
          </w:p>
          <w:p w14:paraId="544F8E6B" w14:textId="77777777" w:rsidR="0040567A" w:rsidRDefault="0040567A" w:rsidP="0040567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zakresie kształtowania spójnej sieci osadniczej: strefa niskiej intensywności procesów osadniczych; </w:t>
            </w:r>
          </w:p>
          <w:p w14:paraId="01E1CBBD" w14:textId="77777777" w:rsidR="0040567A" w:rsidRDefault="0040567A" w:rsidP="0040567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zakresie ochrony walorów przyrodniczych – nie dotyczy; </w:t>
            </w:r>
          </w:p>
          <w:p w14:paraId="69F75D8C" w14:textId="77777777" w:rsidR="0040567A" w:rsidRDefault="0040567A" w:rsidP="0040567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zakresie kształtowania i racjonalnego gospodarowania zasobami środowiska przyrodniczego: - strefy wododziałowe, główne zbiorniki wód podziemnych – GZWP nr 143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Subzbiornik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Inowrocław- Gniezno; </w:t>
            </w:r>
          </w:p>
          <w:p w14:paraId="5F975F54" w14:textId="77777777" w:rsidR="0040567A" w:rsidRDefault="0040567A" w:rsidP="0040567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zakresie ochrony potencjału kulturowego i krajobrazu oraz rozwoju konkurencyjnych form turystyki i rekreacji: - dobra kultury materialnej i niematerialnej – proponowane lokalizacje parków kulturowych; </w:t>
            </w:r>
          </w:p>
          <w:p w14:paraId="7B8C70D4" w14:textId="77777777" w:rsidR="0040567A" w:rsidRDefault="0040567A" w:rsidP="0040567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zakresie zrównoważonego rozwoju rolnictwa: strefa umiarkowanego rozwoju działalności rolniczej, </w:t>
            </w:r>
          </w:p>
          <w:p w14:paraId="7C9F80D8" w14:textId="77777777" w:rsidR="0040567A" w:rsidRDefault="0040567A" w:rsidP="0040567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zakresie poprawy dostępności komunikacyjnej województwa – nie dotyczy; </w:t>
            </w:r>
          </w:p>
          <w:p w14:paraId="62AC8DD9" w14:textId="77777777" w:rsidR="0040567A" w:rsidRDefault="0040567A" w:rsidP="0040567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zakresie rozwoju efektywnej i innowacyjnej infrastruktury technicznej: - sieć szerokopasmowa – sieć światłowodowa, </w:t>
            </w:r>
          </w:p>
          <w:p w14:paraId="2C21C9A7" w14:textId="77777777" w:rsidR="0040567A" w:rsidRDefault="0040567A" w:rsidP="0040567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zakresie zapewnienia bezpieczeństwa publicznego i przeciwdziałania zagrożeniom: nie dotyczy. </w:t>
            </w:r>
          </w:p>
          <w:p w14:paraId="1BCA741D" w14:textId="52C707A7" w:rsidR="00010BED" w:rsidRPr="00ED78E2" w:rsidRDefault="0040567A" w:rsidP="0006591E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Inwestycje celu publicznego o znaczeniu ponadlokalnym na obszarze gminy znajdują się w załącznikach do planu zagospodarowania przestrzennego województwa. </w:t>
            </w:r>
            <w:r w:rsidR="00010BED" w:rsidRPr="00ED78E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</w:tr>
      <w:tr w:rsidR="0040567A" w14:paraId="285DD61F" w14:textId="77777777" w:rsidTr="0006591E">
        <w:tc>
          <w:tcPr>
            <w:tcW w:w="462" w:type="dxa"/>
          </w:tcPr>
          <w:p w14:paraId="7E7B198E" w14:textId="77777777" w:rsidR="0040567A" w:rsidRPr="001436EB" w:rsidRDefault="0040567A" w:rsidP="004056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14:paraId="53904AF4" w14:textId="6DEA813E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01.07.24</w:t>
            </w:r>
          </w:p>
        </w:tc>
        <w:tc>
          <w:tcPr>
            <w:tcW w:w="2532" w:type="dxa"/>
          </w:tcPr>
          <w:p w14:paraId="30AD0281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Gaz System S.A. </w:t>
            </w:r>
          </w:p>
          <w:p w14:paraId="077C868E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Wałowa 47, 80-858 Gdańsk </w:t>
            </w:r>
          </w:p>
          <w:p w14:paraId="619861E8" w14:textId="6782296F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</w:tcPr>
          <w:p w14:paraId="2DF0F75F" w14:textId="59A12547" w:rsidR="0040567A" w:rsidRDefault="00D2706B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Cały obszar planu</w:t>
            </w:r>
          </w:p>
        </w:tc>
        <w:tc>
          <w:tcPr>
            <w:tcW w:w="1281" w:type="dxa"/>
          </w:tcPr>
          <w:p w14:paraId="104EB52E" w14:textId="73096085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14:paraId="36896BFF" w14:textId="51EFAE95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9" w:type="dxa"/>
          </w:tcPr>
          <w:p w14:paraId="5100D7A6" w14:textId="73070A20" w:rsidR="0040567A" w:rsidRDefault="0040567A" w:rsidP="000659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Brak </w:t>
            </w:r>
            <w:r w:rsidR="0006591E">
              <w:rPr>
                <w:rFonts w:ascii="Times New Roman" w:hAnsi="Times New Roman" w:cs="Times New Roman"/>
                <w:sz w:val="18"/>
                <w:szCs w:val="18"/>
              </w:rPr>
              <w:t>wniosków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40567A" w14:paraId="1C541009" w14:textId="77777777" w:rsidTr="0006591E">
        <w:tc>
          <w:tcPr>
            <w:tcW w:w="462" w:type="dxa"/>
          </w:tcPr>
          <w:p w14:paraId="5CECC680" w14:textId="77777777" w:rsidR="0040567A" w:rsidRPr="001436EB" w:rsidRDefault="0040567A" w:rsidP="004056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14:paraId="0287F9DD" w14:textId="3BDF2213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03.07.24</w:t>
            </w:r>
          </w:p>
        </w:tc>
        <w:tc>
          <w:tcPr>
            <w:tcW w:w="2532" w:type="dxa"/>
          </w:tcPr>
          <w:p w14:paraId="483F5270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Wojewódzki Urząd Ochrony Zabytków w Poznaniu </w:t>
            </w:r>
          </w:p>
          <w:p w14:paraId="6A056D12" w14:textId="7A96F71A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Gołębia 2, </w:t>
            </w:r>
          </w:p>
          <w:p w14:paraId="35895333" w14:textId="20D2A411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61-834 Poznań </w:t>
            </w:r>
          </w:p>
        </w:tc>
        <w:tc>
          <w:tcPr>
            <w:tcW w:w="1544" w:type="dxa"/>
          </w:tcPr>
          <w:p w14:paraId="7049A30B" w14:textId="6E90103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Cały obszar planu </w:t>
            </w:r>
          </w:p>
        </w:tc>
        <w:tc>
          <w:tcPr>
            <w:tcW w:w="1281" w:type="dxa"/>
          </w:tcPr>
          <w:p w14:paraId="5400D3D5" w14:textId="701C5B8B" w:rsidR="0040567A" w:rsidRPr="00AA3E51" w:rsidRDefault="0006591E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56" w:type="dxa"/>
          </w:tcPr>
          <w:p w14:paraId="3ECB6F84" w14:textId="71E3F9B6" w:rsidR="0040567A" w:rsidRPr="00AA3E51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9" w:type="dxa"/>
          </w:tcPr>
          <w:p w14:paraId="1D81EC54" w14:textId="2397D172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Przedmiotowy obszar nie znajduje się na terenie objętym ochroną konserwatorską w formie wpisu do rejestru zabytków. Na wskazanej działce nie występują również zabytki wpisane indywidualnie do rejestru zabytków oraz obiekty ujęte w gminnej ewidencji zabytków. Ponadto na wskazanym terenie brak zewidencjonowanych stanowisk archeologicznych. </w:t>
            </w:r>
          </w:p>
        </w:tc>
      </w:tr>
      <w:tr w:rsidR="0040567A" w14:paraId="4FB44E2C" w14:textId="77777777" w:rsidTr="0006591E">
        <w:tc>
          <w:tcPr>
            <w:tcW w:w="462" w:type="dxa"/>
          </w:tcPr>
          <w:p w14:paraId="47A04649" w14:textId="77777777" w:rsidR="0040567A" w:rsidRPr="001436EB" w:rsidRDefault="0040567A" w:rsidP="004056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14:paraId="6AB53AC1" w14:textId="11791A34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04.07.24</w:t>
            </w:r>
          </w:p>
        </w:tc>
        <w:tc>
          <w:tcPr>
            <w:tcW w:w="2532" w:type="dxa"/>
          </w:tcPr>
          <w:p w14:paraId="1A3FA003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Centralne Wojskowe Centrum Rekrutacji </w:t>
            </w:r>
          </w:p>
          <w:p w14:paraId="50D3C9FB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Ośrodek Zamiejscowy w Poznaniu </w:t>
            </w:r>
          </w:p>
          <w:p w14:paraId="6A5D4771" w14:textId="7A34FCAC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Solna 21, </w:t>
            </w:r>
          </w:p>
          <w:p w14:paraId="459BEEF5" w14:textId="669E3CD3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61-736 Poznań </w:t>
            </w:r>
          </w:p>
        </w:tc>
        <w:tc>
          <w:tcPr>
            <w:tcW w:w="1544" w:type="dxa"/>
          </w:tcPr>
          <w:p w14:paraId="0A2AF59D" w14:textId="4EA10012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Cały obszar planu </w:t>
            </w:r>
          </w:p>
        </w:tc>
        <w:tc>
          <w:tcPr>
            <w:tcW w:w="1281" w:type="dxa"/>
          </w:tcPr>
          <w:p w14:paraId="2D1D3BE3" w14:textId="243DCE3C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14:paraId="558F419D" w14:textId="2911A042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9" w:type="dxa"/>
          </w:tcPr>
          <w:p w14:paraId="73D50F2E" w14:textId="7BD1D906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Brak </w:t>
            </w:r>
            <w:r w:rsidR="0006591E">
              <w:rPr>
                <w:rFonts w:ascii="Times New Roman" w:hAnsi="Times New Roman" w:cs="Times New Roman"/>
                <w:sz w:val="18"/>
                <w:szCs w:val="18"/>
              </w:rPr>
              <w:t>wniosków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40567A" w14:paraId="268A21CE" w14:textId="77777777" w:rsidTr="0006591E">
        <w:tc>
          <w:tcPr>
            <w:tcW w:w="462" w:type="dxa"/>
          </w:tcPr>
          <w:p w14:paraId="183361FB" w14:textId="77777777" w:rsidR="0040567A" w:rsidRPr="001436EB" w:rsidRDefault="0040567A" w:rsidP="004056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14:paraId="0642A6EA" w14:textId="56BABE38" w:rsidR="0040567A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05.07.24</w:t>
            </w:r>
          </w:p>
        </w:tc>
        <w:tc>
          <w:tcPr>
            <w:tcW w:w="2532" w:type="dxa"/>
          </w:tcPr>
          <w:p w14:paraId="5CB19C1D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Wielkopolski Wojewódzki Inspektor Ochrony Środowiska </w:t>
            </w:r>
          </w:p>
          <w:p w14:paraId="2F5E471E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Poznaniu </w:t>
            </w:r>
          </w:p>
          <w:p w14:paraId="4F0F4A18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Delegatura w Koninie </w:t>
            </w:r>
          </w:p>
          <w:p w14:paraId="0EBFE278" w14:textId="31167532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Kard. Stefana Wyszyńskiego 3a, </w:t>
            </w:r>
          </w:p>
          <w:p w14:paraId="460A127C" w14:textId="700CAF74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62-510 Konin </w:t>
            </w:r>
          </w:p>
        </w:tc>
        <w:tc>
          <w:tcPr>
            <w:tcW w:w="1544" w:type="dxa"/>
          </w:tcPr>
          <w:p w14:paraId="0B73F0B9" w14:textId="188B07F6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Cały obszar planu </w:t>
            </w:r>
          </w:p>
        </w:tc>
        <w:tc>
          <w:tcPr>
            <w:tcW w:w="1281" w:type="dxa"/>
          </w:tcPr>
          <w:p w14:paraId="79E69C3B" w14:textId="3C7FB8D6" w:rsidR="0040567A" w:rsidRPr="00AA3E51" w:rsidRDefault="0006591E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56" w:type="dxa"/>
          </w:tcPr>
          <w:p w14:paraId="1F047806" w14:textId="05AF16FD" w:rsidR="0040567A" w:rsidRPr="00AA3E51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9" w:type="dxa"/>
          </w:tcPr>
          <w:p w14:paraId="097D49F0" w14:textId="13AB3695" w:rsidR="0040567A" w:rsidRPr="009F559C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 rejestrem zakładów o dużym i zwiększonym ryzykiem wystąpienia poważnej awarii przemysłowej prowadzonym przez WIOŚ w uzgodnieniu z Komendą Wojewódzką Państwowej Straży Pożarnej, na terenach miasta Trzemeszna pod adresem: ul. Fabryczna 4, 62-240 Trzemeszno, znajduje się zakład o dużym ryzyku wystąpienia awarii (ZDR)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Prefere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Resins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Poland Spółka z o.o.. Zakład znajduje się w odległości ok 1,1 km w kierunku zachodnim od granic objętych miejscowym planem. Celem sporządzenia przedmiotowego projektu planu jest umożliwienie lepszego zagospodarowania działki nr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ewid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20/8, obręb Trzemeszno 3, poprzez poszerzenie funkcji mieszkaniowej o funkcję usługową. Wskazać należy, że w projekcie planu nie zawarta została informacja na temat lokalizacji ZZR lub ZDR. </w:t>
            </w:r>
          </w:p>
        </w:tc>
      </w:tr>
      <w:tr w:rsidR="0040567A" w14:paraId="5F90FF13" w14:textId="77777777" w:rsidTr="0006591E">
        <w:tc>
          <w:tcPr>
            <w:tcW w:w="462" w:type="dxa"/>
          </w:tcPr>
          <w:p w14:paraId="527A1F91" w14:textId="77777777" w:rsidR="0040567A" w:rsidRPr="001436EB" w:rsidRDefault="0040567A" w:rsidP="004056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14:paraId="3219EC59" w14:textId="64FF089C" w:rsidR="0040567A" w:rsidRPr="00AA3E51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08.07.24</w:t>
            </w:r>
          </w:p>
        </w:tc>
        <w:tc>
          <w:tcPr>
            <w:tcW w:w="2532" w:type="dxa"/>
          </w:tcPr>
          <w:p w14:paraId="3423684D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Enea Operator sp. Z o.o. </w:t>
            </w:r>
          </w:p>
          <w:p w14:paraId="6318C5E4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Oddział Dystrybucji Bydgoszcz </w:t>
            </w:r>
          </w:p>
          <w:p w14:paraId="05C38D09" w14:textId="6FB4438C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Warmińskiego 8</w:t>
            </w:r>
          </w:p>
          <w:p w14:paraId="278CD0AD" w14:textId="3A0647C5" w:rsidR="0040567A" w:rsidRPr="003C4A9D" w:rsidRDefault="0040567A" w:rsidP="004056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85-054 Bydgoszcz u. E.</w:t>
            </w:r>
          </w:p>
        </w:tc>
        <w:tc>
          <w:tcPr>
            <w:tcW w:w="1544" w:type="dxa"/>
          </w:tcPr>
          <w:p w14:paraId="602E351E" w14:textId="35D842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Cały obszar planu </w:t>
            </w:r>
          </w:p>
        </w:tc>
        <w:tc>
          <w:tcPr>
            <w:tcW w:w="1281" w:type="dxa"/>
          </w:tcPr>
          <w:p w14:paraId="67B8A98C" w14:textId="5BBB40D0" w:rsidR="0040567A" w:rsidRPr="00AA3E51" w:rsidRDefault="00E75A3B" w:rsidP="00E75A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56" w:type="dxa"/>
          </w:tcPr>
          <w:p w14:paraId="324D3E0C" w14:textId="39B24C98" w:rsidR="0040567A" w:rsidRPr="00AA3E51" w:rsidRDefault="00E75A3B" w:rsidP="00E75A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59" w:type="dxa"/>
          </w:tcPr>
          <w:p w14:paraId="7D1ACB9C" w14:textId="0879F7CB" w:rsidR="0040567A" w:rsidRPr="009F559C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9C">
              <w:rPr>
                <w:rFonts w:ascii="Times New Roman" w:hAnsi="Times New Roman" w:cs="Times New Roman"/>
                <w:sz w:val="18"/>
                <w:szCs w:val="18"/>
              </w:rPr>
              <w:t xml:space="preserve">1) Na obszarze objętym przedmiotowym Planem zlokalizowana jest następująca istniejąca infrastruktura techniczna elektroenergetyczna dystrybucyjna (sieć dystrybucyjna energii elektrycznej) będąca na majątku i pozostająca w eksploatacji ENEA Operator: </w:t>
            </w:r>
          </w:p>
          <w:p w14:paraId="08021709" w14:textId="77777777" w:rsidR="0040567A" w:rsidRPr="009F559C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9C">
              <w:rPr>
                <w:rFonts w:ascii="Times New Roman" w:hAnsi="Times New Roman" w:cs="Times New Roman"/>
                <w:sz w:val="18"/>
                <w:szCs w:val="18"/>
              </w:rPr>
              <w:t xml:space="preserve">a. linia kablowa niskiego napięcia (nn-0,4 </w:t>
            </w:r>
            <w:proofErr w:type="spellStart"/>
            <w:r w:rsidRPr="009F559C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9F559C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533A7562" w14:textId="74DF629E" w:rsidR="0040567A" w:rsidRPr="009F559C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9C">
              <w:rPr>
                <w:rFonts w:ascii="Times New Roman" w:hAnsi="Times New Roman" w:cs="Times New Roman"/>
                <w:sz w:val="18"/>
                <w:szCs w:val="18"/>
              </w:rPr>
              <w:t xml:space="preserve">2) Na obszarach objętych planem, w których planuje się przyłączenia do sieci dystrybucyjnej energii elektrycznej nowych podmiotów i/lub wzrost mocy przyłączeniowych dla istniejących odbiorców, proponujemy dokonać analizy w zakresie określenia przewidywanej wielkości zapotrzebowania na moc, w oparciu o poniższa tabelę: </w:t>
            </w:r>
            <w:r w:rsidRPr="009F55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(w piśmie dołączono tabele)</w:t>
            </w:r>
          </w:p>
          <w:p w14:paraId="55D84CF0" w14:textId="77777777" w:rsidR="0040567A" w:rsidRPr="009F559C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9C">
              <w:rPr>
                <w:rFonts w:ascii="Times New Roman" w:hAnsi="Times New Roman" w:cs="Times New Roman"/>
                <w:sz w:val="18"/>
                <w:szCs w:val="18"/>
              </w:rPr>
              <w:t>W zależności od prognozowanego zapotrzebowania na moc należy przewidzieć miejsce pod ewentualne budowy nowych stacji elektroenergetycznych SN (w tym stacji SN/</w:t>
            </w:r>
            <w:proofErr w:type="spellStart"/>
            <w:r w:rsidRPr="009F559C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  <w:proofErr w:type="spellEnd"/>
            <w:r w:rsidRPr="009F559C">
              <w:rPr>
                <w:rFonts w:ascii="Times New Roman" w:hAnsi="Times New Roman" w:cs="Times New Roman"/>
                <w:sz w:val="18"/>
                <w:szCs w:val="18"/>
              </w:rPr>
              <w:t xml:space="preserve">) wraz z dojazdem do nich bezpośrednio od strony drogi publicznej, bez określania wymogu linii zabudowy oraz umożliwić lokalizację nowych linii elektroenergetycznych SN i </w:t>
            </w:r>
            <w:proofErr w:type="spellStart"/>
            <w:r w:rsidRPr="009F559C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  <w:proofErr w:type="spellEnd"/>
            <w:r w:rsidRPr="009F559C">
              <w:rPr>
                <w:rFonts w:ascii="Times New Roman" w:hAnsi="Times New Roman" w:cs="Times New Roman"/>
                <w:sz w:val="18"/>
                <w:szCs w:val="18"/>
              </w:rPr>
              <w:t xml:space="preserve"> dla zasilania nowych obiektów. </w:t>
            </w:r>
          </w:p>
          <w:p w14:paraId="631AF224" w14:textId="0C109F1A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Wprowadzenie do projektu planu zapisów: </w:t>
            </w:r>
          </w:p>
          <w:p w14:paraId="6C3E99D4" w14:textId="225189F0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1) Definicja: „Sieć dystrybucyjna energii elektrycznej: sieć elektroenergetyczna wysokich, średnich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 niskich napięć, za której ruch sieciowy jest odpowiedzialny operator systemu dystrybucyjnego (OSD) (poprzez sieć elektroenergetyczną należy rozumieć zespól połączonych wzajemnie linii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 stacji elektroenergetycznych przeznaczonych do przesyłania i rozdzielania energii elektrycznej). Do sieci dystrybucyjnej energii elektrycznej OSD nie nal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eży</w:t>
            </w: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 kwalifikować linii i stacji elektroenergetycznych nie będących własnością OSD". </w:t>
            </w:r>
          </w:p>
          <w:p w14:paraId="7F192D2A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2) „Należy zachować lokalizację istniejącej sieci dystrybucyjnej energii elektrycznej oraz uwzględnić wynikające z jej istnienia obostrzenie w zagospodarowaniu terenu. Wzdłuż przebiegu Istniejących i planowanych linii elektroenergetycznych będących częścią sieci dystrybucyjnej energii elektrycznej uwzględnić pasy technologiczne (pasy ochrony funkcyjnej) w obrębie tychże linii. Wyznacza się pasy technologiczne wzdłuż projektowanych i istniejących linii elektroenergetycznych dystrybucyjnych, w poziomie nie mniejsze 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ż</w:t>
            </w: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407FA8CA" w14:textId="0578C3DA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— dla linii napowietrznych WN-1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 - 22 m (p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 11 m po każdej ze stron od osi linii); </w:t>
            </w:r>
          </w:p>
          <w:p w14:paraId="1B322C2B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— dla linii napowietrznych SN - 14 m (po 7 m po każdej ze stron od osi linii); </w:t>
            </w:r>
          </w:p>
          <w:p w14:paraId="012FD016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— dla linii napowietrznych nn-0,4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 - 7 m (po 3,5 m po każdej ze stron od osi linii); </w:t>
            </w:r>
          </w:p>
          <w:p w14:paraId="3A6FC571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— dla linii kablowych WN- 1,0 m (po 0,5 m po każdej ze stron od osi linii); </w:t>
            </w:r>
          </w:p>
          <w:p w14:paraId="2ECC96B6" w14:textId="489EB4E6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— dla linii kablowych SN i nn-0,4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 - 0,5 m (po 0,25 m po każdej ze stron od osi linii). Utworzenie pasów technologicznych wzdłuż linii nie powoduje wyłączenia terenu z zagospodarowania, jedynie może wprowadzać ewentualne obostrzenia. W pasach technologicznych obowiązuje w szczególności zakaz sadzenia roślinn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ści wysokiej i o rozbudowanym systemie korzeniowym, w tym obowiązuje szerokość pasa wycinki podstawowej drzew na trasie linii wg przepisów odrębnych. Pasy technologiczne linii napowietrznych 110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 uwidocznione są dodatkowo w części graficznej dokumentu. Pasy technologiczne nie są równoznaczne z pasami określanymi na potrzeby ustanawiania służebności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przesył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, które wyznacza się w oparciu o inne przepisy." </w:t>
            </w:r>
          </w:p>
          <w:p w14:paraId="1F31E386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W przypadkach: </w:t>
            </w:r>
          </w:p>
          <w:p w14:paraId="08197D68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projektowania zmian zagospodarowania terenu w pasach technologicznych, </w:t>
            </w:r>
          </w:p>
          <w:p w14:paraId="1AD8D777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2) planowania robot budowlanych w odległości liczonej w poziomie do skrajnych przewodów lub toru kabla, mniejszej 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ż</w:t>
            </w: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1117CC2E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-15 m dla linii napowietrznych WN-110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0BA5C042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-10 m dla linii napowietrznych SN-20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1252DB4A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- 5 m dla linii napowietrznych SN-15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6D24BF5A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- 3 m dla linii napowietrznych nn-0,4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424E28C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- 3 m dla linii kablowych WN-110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193A0BBC" w14:textId="35CDD303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- 2,5 m dla linii kablowych SN,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 należy dokonywać uzgodnień bramowych z właścicielem tych linii, w szczególności w przypadkach planowania budowy, przebudowy lub remontu obiektu. </w:t>
            </w:r>
          </w:p>
          <w:p w14:paraId="6A5E861D" w14:textId="11C716F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Wszystkie obiekty przewidywane do budowy, przebudowy lub remontu w zbliżeniu lub na skrzyżowaniu z infrastrukturą techniczną elektroenergetyczną podlegają przepisom odrębnym." Usunięcie ewentualnych kolizji wynikających z planowanych zmian zagospodarowania przestrzennego terenu z istniejącą siecią dystrybucyjną energii elektrycznej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i/</w:t>
            </w: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lub infrastrukturą techniczną lub infrastrukturą teletechniczną będącą na majątku ENEA Operator jest możliwe na zasadach określonych przez właściciela sieci kosztem i staraniem wnioskodawcy, któremu infrastruktura elektroenergetyczna koliduje. </w:t>
            </w:r>
          </w:p>
          <w:p w14:paraId="36EF9527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„Dopuszcza się budowę nowej infrastruktury technicznej elektroenergetycznej oraz przebudowę, remont i utrzymanie istniejącej infrastruktury technicznej elektroenergetycznej, na podstawie przepisów odrębnych." „Umożliwia się budowę nowej oraz rozbudowę, przebudowę i remont istniejącej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nfrastruktury technicznej elektroenergetycznej dystrybucyjnej z zastosowaniem: </w:t>
            </w:r>
          </w:p>
          <w:p w14:paraId="65AB8209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• linii elektroenergetycznych WN, SN i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 wraz z przyłączami w wykonaniu kablowym klub napowietrznym, </w:t>
            </w:r>
          </w:p>
          <w:p w14:paraId="6C438090" w14:textId="7461C2A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• stacji elektroenergetycznych 110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 xml:space="preserve"> (w tym stacji 110 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/SN) 1 SN (w tym stacji SN/</w:t>
            </w:r>
            <w:proofErr w:type="spellStart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  <w:proofErr w:type="spellEnd"/>
            <w:r w:rsidRPr="00734C07">
              <w:rPr>
                <w:rFonts w:ascii="Times New Roman" w:hAnsi="Times New Roman" w:cs="Times New Roman"/>
                <w:sz w:val="18"/>
                <w:szCs w:val="18"/>
              </w:rPr>
              <w:t>) w wykonaniu wnętrzowym i/lub napowietrznym.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14:paraId="01033DAD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Umożliwia się lokalizację infrastruktury technicznej elektroenergetycznej dystrybucyjnej liniowej i elementów energetycznych z nią związanych w pasach drogowych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/ukł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adach komunikacyjnych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tj.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terenach ogólnie dostępnych dla prowadzenia sieci." Odstępstwo od ww. zasady jest możliwe po uzgodnieniu lokalizacji trasy inwestycji pomiędzy właścicielami terenu i gestorem sieci bez konieczności zmiany dokumentu pianistycznego. </w:t>
            </w:r>
          </w:p>
          <w:p w14:paraId="2C5146B7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5) „Wyznacza się tereny dla potrzeb lokalizacji stacji elektroenergetycznych wraz z możliwością wprowadzenia/ wyprowadzenia do/z stacji linii elektroenergetycznych." </w:t>
            </w:r>
          </w:p>
          <w:p w14:paraId="57D202EC" w14:textId="134EE224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6) „Planowane kubaturowe stacje elektroenergetyczne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w tym stacje transformatorowe SN/</w:t>
            </w:r>
            <w:proofErr w:type="spellStart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  <w:proofErr w:type="spellEnd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) będące własnością OSD są realizowane jako obiekty naziemne, wolnostojące. Nieprzekraczalna linia zabudowy, minimalna powierzchnia dzia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ki, szerokość frontu działki, wyznaczenie miejsc postojowych nie dotyczą istniejących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planowanych obiektów infrastruktury technicznej elektroenergetycznej." </w:t>
            </w:r>
          </w:p>
          <w:p w14:paraId="6EFB8C17" w14:textId="7E92BC01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7) Dopuszcza się prawo do podzia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łu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, istniejących dzia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ek celem wydzielenia terenów dla lokalizacji stacji elektroenergetycznych wraz z możliwością wprowadzenia do stacji linii elektroenergetycznych zgodnie z przepisami odrębnymi." </w:t>
            </w:r>
          </w:p>
          <w:p w14:paraId="30F39A5E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8) „Dopuszcza się lokalizację stacji elektroenergetycznych na terenach o innym przeznaczeniu wraz z możliwością wprowadzenia do stacji linii elektroenergetycznych zgodnie z przepisami odrębnymi." </w:t>
            </w:r>
          </w:p>
          <w:p w14:paraId="1A4EB48F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9) Dopuszcza się lokalizację stacji elektroenergetycznych średniego napięcia zlokalizowanych w budynkach na pierwszej kondygnacji nadziemnej z bezpośrednim dostępem z zewnątrz wraz z możliwością wprowadzenia do stacji linii elektroenergetycznych zgodnie z przepisami odrębnymi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”.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55D7C71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10) „Zaopatrzenie w energię elektryczną odbywa się z planowanej, budowanej, przebudowywanej, remontowanej 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stniejące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infrastruktury technicznej elektroenergetycznej na podstawie przepisów odrębnych." </w:t>
            </w:r>
          </w:p>
          <w:p w14:paraId="76BC04CC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11) „Zapewnia się swobodny dostęp i dojazd do infrastruktury technicznej elektroenergetycznej, w tym stacji elektroenergetycznych, linii elektroenergetycznych oraz konstrukcji wsporczych (s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upów) w celu przeprowadzania prac eksploatacyjnych lub usuwania awarii". </w:t>
            </w:r>
          </w:p>
          <w:p w14:paraId="1D760EB2" w14:textId="6120413C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12) „Tereny lokalizacji źródeł energii dopuszczają łączne usytuowanie do (określić liczbę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ź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ródeł energii) szt. siłowni wiatrowych, biogazowni, biogazowni rolniczych, instalacji fotowoltaicznych, instalacji spalania biomasy, instalacji termicznego przekształcania odpadów, instalacji spalania wielopaliwowego (itd.;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wskazać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rodzaj źród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ła 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energ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o mocy do (określić moc pojedynczego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ź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ródła energii/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nstalacji, np. 3 MW / sz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t.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)." </w:t>
            </w:r>
          </w:p>
          <w:p w14:paraId="239090FB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13) „Przy lokalizacji nowych jednostek (turbin) zespołów elektrowni wiatrowych nale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ż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y zapewniać zachowanie odległości od skrajnych przewodów napowietrznych linii elektroenergetycznych, będących częścią sieci dystrybucyjnej energii elektrycznej. Wyznacza się odległości lokalizacji poszczególnych turbin wiatrowych od istniejących i projektowanych linii elektroenergetycznych dystrybucyjnych, w poziomie nie mniejsze 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ż:</w:t>
            </w:r>
          </w:p>
          <w:p w14:paraId="29D0C914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— 10,0 m od osi linii nn-0,4 </w:t>
            </w:r>
            <w:proofErr w:type="spellStart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jednotorowej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do średnicy kola wiatrakowego; </w:t>
            </w:r>
          </w:p>
          <w:p w14:paraId="38111DDD" w14:textId="17DDC0C4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— 12,5 m od osi linii SN-15 </w:t>
            </w:r>
            <w:proofErr w:type="spellStart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(20 </w:t>
            </w:r>
            <w:proofErr w:type="spellStart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) jednotorowej do średnicy 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a wiatrakowego; </w:t>
            </w:r>
          </w:p>
          <w:p w14:paraId="1B8528C6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— 12,5 m od osi lin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nn-0,4 </w:t>
            </w:r>
            <w:proofErr w:type="spellStart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wielotorowej do średnicy kola wiatrakowego; </w:t>
            </w:r>
          </w:p>
          <w:p w14:paraId="6D741A2D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— 15,0 m od osi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linii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SN-15 </w:t>
            </w:r>
            <w:proofErr w:type="spellStart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(20 </w:t>
            </w:r>
            <w:proofErr w:type="spellStart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) wielotorowej do średnicy 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a wiatrakowego </w:t>
            </w:r>
          </w:p>
          <w:p w14:paraId="5F9168EA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— 3xśrednica kola wiatrakowego od skrajnego przewodu linii o napięciu 110 </w:t>
            </w:r>
            <w:proofErr w:type="spellStart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nie posiadającej specjalnych amortyzatorów do tłumienia drgań do średnicy 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a wiatrakowego; </w:t>
            </w:r>
          </w:p>
          <w:p w14:paraId="36DABD7A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— średnica 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a wiatrakowego od skrajnego przewodu linii o napięciu 110 </w:t>
            </w:r>
            <w:proofErr w:type="spellStart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kV</w:t>
            </w:r>
            <w:proofErr w:type="spellEnd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posiadającej specjalne amortyzatory do tłumienia drgań do średnicy 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a wiatrakowego". </w:t>
            </w:r>
          </w:p>
          <w:p w14:paraId="34C40BDF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14) „Przy lokalizacji nowych instalacji fotowoltaicznych należy zapewniać w trakcie budowy użytkowania/eksploatacji zachowanie odległości od osi linii elektroenergetycznej, będącej częścią sieci dystrybucyjnej energii elektrycznej. Wyznacza się odle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głości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lokalizacji poszczególnych instalacji fotowoltaicznych od osi istniejących i projektowanych linii elektroenergetycznych dystrybucyjnych, w poziomie nie mniejsze 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ż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963119" w14:textId="66A81108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— dla linii napowietrznych WN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–11 m po każdej ze stron od osi linii; </w:t>
            </w:r>
          </w:p>
          <w:p w14:paraId="13B325A1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— dla linii napowietrznych SN – 7 m po każdej ze stron od osi linii;</w:t>
            </w:r>
          </w:p>
          <w:p w14:paraId="27D780AB" w14:textId="3B4EBA5E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— dla linii napowietrznych </w:t>
            </w:r>
            <w:proofErr w:type="spellStart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  <w:proofErr w:type="spellEnd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– 3,5 m po każdej ze stron od osi linii, </w:t>
            </w:r>
          </w:p>
          <w:p w14:paraId="6A91AD54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— dla linii kablowych SN i </w:t>
            </w:r>
            <w:proofErr w:type="spellStart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  <w:proofErr w:type="spellEnd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– 0,7 m po każdej ze stron od osi linii; </w:t>
            </w:r>
          </w:p>
          <w:p w14:paraId="09C3AF30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— dla linii kablowych WN – 1,5 m po każdej ze stron od osi linii. </w:t>
            </w:r>
          </w:p>
          <w:p w14:paraId="1713B4F6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16931" w14:textId="18A9B81F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Uwaga: w przypadku kilku linii kablowych prowadzonych równolegle obok siebie, pas technologiczny liczy się 1,5 metra dla WN lub 0.7 m dla SN od osi skrajnej linii. W pasach technologicznych obowiązuje w szczególności zakaz sytuowania insta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acji fotowoltaicznych, sadzenia roślinności wysokiej i o rozbudowanym systemie korzeniowym, w tym obowiązuje szerokość pasa wycinki podstawowej drzew na trasie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linii 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wg przepisów odrębnych. Pasy technologiczne linii napowietrznych uwidocznione są dodatkowo w części graficznej 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dokumentu. Pasy technologiczne nie są równoznaczne z pasami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określanymi 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na potrzeby ustanawiania służebności </w:t>
            </w:r>
            <w:proofErr w:type="spellStart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przesy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proofErr w:type="spellEnd"/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, które wyznacza się w oparciu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nne przepisy." </w:t>
            </w:r>
          </w:p>
          <w:p w14:paraId="5A78B341" w14:textId="2AF105DF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15) Rozmieszczenie źródeł energii o mocy przekraczającej 500 kW, uwidocznione zostało dodatkowo w części graficznej dokumentu. </w:t>
            </w:r>
          </w:p>
          <w:p w14:paraId="684FFC18" w14:textId="6903696D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>16) „W przypadku planowania źród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ła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energii w sąsiedztwie infrastruktury technicznej elektroenergetycznej należy przedstawić OSD sposób zagospodarowania dzia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ek przeznaczonych pod zabudowę tego źródła uwzględniający swobodny dostęp i dojazd służb OSD do istniejącej infrastruktury w celu przeprowadzania prac eksploatacyjnych lub usuwania awarii". </w:t>
            </w:r>
          </w:p>
          <w:p w14:paraId="7E75AB95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17) "Przeznaczenie terenów dla lokalizacji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ź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ródeł energii nie jest jednoznaczne z możliwością przyłączenia do sieci elektroenergetycznej. Rozpatrzenie możliwości przyłączenia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ź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ródła do sieci elektroenergetycznej odbywa się zgodnie z przepisami odrębnymi." </w:t>
            </w:r>
          </w:p>
          <w:p w14:paraId="73162C8E" w14:textId="77777777" w:rsidR="0040567A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ENEA Operator sp. z o.o. zwraca uwagę,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ż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e stworzenie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możliwości 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 prawnych prawidłowej eksploatacji, modernizacji, budowy i rozbudowy sieci elektroenergetycznej jest jednym z podstawowych warunków realizacji obiektów ujętych w opracowaniu, dostarczania do nich energii elektrycznej o prawidłowych parametrach, a zatem jest warunkiem prawidłowego funkcjonowania tych obiektów. Ponadto prosimy o przesłanie do ENEA Operator sp. z o.o. Oddział Dystrybucji Bydgoszcz projektu planu do zaopiniowania, a po uchwaleniu dokumentu o przesłanie prawomocnego egz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emplarza </w:t>
            </w:r>
            <w:r w:rsidRPr="00BD0EC7">
              <w:rPr>
                <w:rFonts w:ascii="Times New Roman" w:hAnsi="Times New Roman" w:cs="Times New Roman"/>
                <w:sz w:val="18"/>
                <w:szCs w:val="18"/>
              </w:rPr>
              <w:t xml:space="preserve">w wersji elektronicznej bądź wskazanie miejsca jego pobrania. </w:t>
            </w:r>
          </w:p>
          <w:p w14:paraId="19670CA7" w14:textId="77777777" w:rsidR="007B2BB8" w:rsidRDefault="007B2BB8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21232" w14:textId="6E9DA9FF" w:rsidR="007B2BB8" w:rsidRPr="00E10591" w:rsidRDefault="007B2BB8" w:rsidP="0006591E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10591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Wniosek uwzględniony częściowo</w:t>
            </w:r>
            <w:r w:rsidR="0006591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, w zakresie dostosowanym do zakresu miejscowego planu zagospodarowania przestrzennego.</w:t>
            </w:r>
            <w:r w:rsidRPr="00E10591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</w:tr>
      <w:tr w:rsidR="0040567A" w14:paraId="1B44BC31" w14:textId="77777777" w:rsidTr="0006591E">
        <w:tc>
          <w:tcPr>
            <w:tcW w:w="462" w:type="dxa"/>
          </w:tcPr>
          <w:p w14:paraId="7C3F6E1C" w14:textId="77777777" w:rsidR="0040567A" w:rsidRPr="001436EB" w:rsidRDefault="0040567A" w:rsidP="0040567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14:paraId="2870187E" w14:textId="5E6FEB72" w:rsidR="0040567A" w:rsidRPr="00AA3E51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51">
              <w:rPr>
                <w:rFonts w:ascii="Times New Roman" w:hAnsi="Times New Roman" w:cs="Times New Roman"/>
                <w:sz w:val="18"/>
                <w:szCs w:val="18"/>
              </w:rPr>
              <w:t>15.07.24</w:t>
            </w:r>
          </w:p>
        </w:tc>
        <w:tc>
          <w:tcPr>
            <w:tcW w:w="2532" w:type="dxa"/>
          </w:tcPr>
          <w:p w14:paraId="46EFC9EF" w14:textId="66C9F9C3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PGNiG</w:t>
            </w:r>
          </w:p>
          <w:p w14:paraId="6532C482" w14:textId="6D7F8E32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Boh. Westerplatte 15,</w:t>
            </w:r>
          </w:p>
          <w:p w14:paraId="6F685809" w14:textId="517F04A1" w:rsidR="0040567A" w:rsidRPr="00AA3E51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65-034 Zielona Góra</w:t>
            </w:r>
          </w:p>
        </w:tc>
        <w:tc>
          <w:tcPr>
            <w:tcW w:w="1544" w:type="dxa"/>
          </w:tcPr>
          <w:p w14:paraId="11064F4D" w14:textId="33ABC361" w:rsidR="0040567A" w:rsidRPr="00AA3E51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Cały obszar planu </w:t>
            </w:r>
          </w:p>
        </w:tc>
        <w:tc>
          <w:tcPr>
            <w:tcW w:w="1281" w:type="dxa"/>
          </w:tcPr>
          <w:p w14:paraId="3A1D0488" w14:textId="318F9CF7" w:rsidR="0040567A" w:rsidRPr="00AA3E51" w:rsidRDefault="0006591E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56" w:type="dxa"/>
          </w:tcPr>
          <w:p w14:paraId="06439ACB" w14:textId="5602A8D8" w:rsidR="0040567A" w:rsidRPr="00AA3E51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9" w:type="dxa"/>
          </w:tcPr>
          <w:p w14:paraId="6A9618DD" w14:textId="30217D74" w:rsidR="0040567A" w:rsidRPr="00AA3E51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Teren objęty opracowaniem nie leży na obszarze i terenie górniczym, utworzonym w związku z wydobywaniem ropy naftowej i gazu ziemnego przez ORLEN S.A. – Oddział PGNiG w Zielonej Górze. Teren znajduje się poza obszarem koncesji na poszukiwanie i rozpoznawanie złóż ropy naftowej i gazu ziemnego udzielonej na rzecz PGNiG. Na przedmiotowym terenie nie znajdują się obiekty liniowe i inne obiekty budowlane będące własnością OLREN S.A.. Aktualnie nie planuje się realizacji nowych inwestycji na tym terenie.  </w:t>
            </w:r>
          </w:p>
        </w:tc>
      </w:tr>
      <w:tr w:rsidR="0040567A" w14:paraId="766ACDBD" w14:textId="77777777" w:rsidTr="0006591E">
        <w:tc>
          <w:tcPr>
            <w:tcW w:w="462" w:type="dxa"/>
          </w:tcPr>
          <w:p w14:paraId="36F4587A" w14:textId="77777777" w:rsidR="0040567A" w:rsidRPr="001436EB" w:rsidRDefault="0040567A" w:rsidP="0040567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14:paraId="56F30E65" w14:textId="7125055A" w:rsidR="0040567A" w:rsidRPr="00AA3E51" w:rsidRDefault="0040567A" w:rsidP="00405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16.07.24</w:t>
            </w:r>
          </w:p>
        </w:tc>
        <w:tc>
          <w:tcPr>
            <w:tcW w:w="2532" w:type="dxa"/>
          </w:tcPr>
          <w:p w14:paraId="6A6D44CD" w14:textId="77777777" w:rsidR="0040567A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Regionalny Dyrektor Ochrony Środowiska  w Poznaniu </w:t>
            </w:r>
          </w:p>
          <w:p w14:paraId="457C1CDF" w14:textId="530B316E" w:rsidR="0040567A" w:rsidRPr="00AA3E51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Tadeusza Kościuszki 57, 61-891 Poznań </w:t>
            </w:r>
          </w:p>
        </w:tc>
        <w:tc>
          <w:tcPr>
            <w:tcW w:w="1544" w:type="dxa"/>
          </w:tcPr>
          <w:p w14:paraId="456C6B3B" w14:textId="77D6F4E6" w:rsidR="0040567A" w:rsidRPr="00AA3E51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Cały obszar planu</w:t>
            </w:r>
          </w:p>
        </w:tc>
        <w:tc>
          <w:tcPr>
            <w:tcW w:w="1281" w:type="dxa"/>
          </w:tcPr>
          <w:p w14:paraId="6B5A9690" w14:textId="2B59E301" w:rsidR="0040567A" w:rsidRPr="00AA3E51" w:rsidRDefault="00D0345F" w:rsidP="00D03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56" w:type="dxa"/>
          </w:tcPr>
          <w:p w14:paraId="0D4F143E" w14:textId="77777777" w:rsidR="0040567A" w:rsidRPr="00AA3E51" w:rsidRDefault="0040567A" w:rsidP="00405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9" w:type="dxa"/>
          </w:tcPr>
          <w:p w14:paraId="2DC840CD" w14:textId="4B460B4B" w:rsidR="0040567A" w:rsidRPr="00AA3E51" w:rsidRDefault="0040567A" w:rsidP="00405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Pismem z dnia 16.07.2024 r. zatwierdził stopień i zakres szczegółowości prognozy oddziaływania na środowisko. </w:t>
            </w:r>
          </w:p>
        </w:tc>
      </w:tr>
    </w:tbl>
    <w:p w14:paraId="539971A3" w14:textId="77777777" w:rsidR="006E3F14" w:rsidRPr="006E3F14" w:rsidRDefault="006E3F14" w:rsidP="006E3F14">
      <w:r w:rsidRPr="006E3F14">
        <w:t>Załączniki:</w:t>
      </w:r>
    </w:p>
    <w:p w14:paraId="2AE8C2B7" w14:textId="631A8B69" w:rsidR="006E3F14" w:rsidRDefault="006E3F14" w:rsidP="006E3F14">
      <w:r w:rsidRPr="006E3F14">
        <w:t>– wnioski wymienione w wykazie</w:t>
      </w:r>
    </w:p>
    <w:p w14:paraId="22780CED" w14:textId="77777777" w:rsidR="006E3F14" w:rsidRPr="006E3F14" w:rsidRDefault="006E3F14" w:rsidP="006E3F14">
      <w:pPr>
        <w:jc w:val="right"/>
      </w:pPr>
      <w:r w:rsidRPr="006E3F14">
        <w:t>.......................................................................................................</w:t>
      </w:r>
    </w:p>
    <w:p w14:paraId="3719327B" w14:textId="343297C9" w:rsidR="006E3F14" w:rsidRDefault="006E3F14" w:rsidP="006E3F14">
      <w:pPr>
        <w:jc w:val="right"/>
      </w:pPr>
      <w:r w:rsidRPr="006E3F14">
        <w:rPr>
          <w:i/>
          <w:iCs/>
        </w:rPr>
        <w:t xml:space="preserve">podpis </w:t>
      </w:r>
      <w:r w:rsidR="0006591E">
        <w:rPr>
          <w:i/>
          <w:iCs/>
        </w:rPr>
        <w:t>B</w:t>
      </w:r>
      <w:bookmarkStart w:id="0" w:name="_GoBack"/>
      <w:bookmarkEnd w:id="0"/>
      <w:r w:rsidRPr="006E3F14">
        <w:rPr>
          <w:i/>
          <w:iCs/>
        </w:rPr>
        <w:t>urmistrza</w:t>
      </w:r>
    </w:p>
    <w:sectPr w:rsidR="006E3F14" w:rsidSect="000659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4D25"/>
    <w:multiLevelType w:val="hybridMultilevel"/>
    <w:tmpl w:val="A25A0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D2724"/>
    <w:multiLevelType w:val="hybridMultilevel"/>
    <w:tmpl w:val="DEC486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FF29F0"/>
    <w:multiLevelType w:val="hybridMultilevel"/>
    <w:tmpl w:val="4F0CF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D02FC5"/>
    <w:multiLevelType w:val="hybridMultilevel"/>
    <w:tmpl w:val="85B4EEBE"/>
    <w:lvl w:ilvl="0" w:tplc="5B6CB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EE"/>
    <w:rsid w:val="00001D82"/>
    <w:rsid w:val="000075F1"/>
    <w:rsid w:val="00010BED"/>
    <w:rsid w:val="00015C70"/>
    <w:rsid w:val="00027DD8"/>
    <w:rsid w:val="00047AC8"/>
    <w:rsid w:val="00064DD6"/>
    <w:rsid w:val="0006591E"/>
    <w:rsid w:val="0006738B"/>
    <w:rsid w:val="00071ED7"/>
    <w:rsid w:val="000740DE"/>
    <w:rsid w:val="0009254F"/>
    <w:rsid w:val="000B7B77"/>
    <w:rsid w:val="000D1801"/>
    <w:rsid w:val="000D3718"/>
    <w:rsid w:val="0010038F"/>
    <w:rsid w:val="00104609"/>
    <w:rsid w:val="00107C4C"/>
    <w:rsid w:val="00130E5B"/>
    <w:rsid w:val="001427EE"/>
    <w:rsid w:val="001436EB"/>
    <w:rsid w:val="001447C8"/>
    <w:rsid w:val="001462C5"/>
    <w:rsid w:val="0019474E"/>
    <w:rsid w:val="001965ED"/>
    <w:rsid w:val="001C0A34"/>
    <w:rsid w:val="001D344B"/>
    <w:rsid w:val="001F6059"/>
    <w:rsid w:val="00227DBC"/>
    <w:rsid w:val="0024638B"/>
    <w:rsid w:val="00246A39"/>
    <w:rsid w:val="002529C6"/>
    <w:rsid w:val="002A5D63"/>
    <w:rsid w:val="002C051D"/>
    <w:rsid w:val="00313BC7"/>
    <w:rsid w:val="00315CE5"/>
    <w:rsid w:val="0031754E"/>
    <w:rsid w:val="00335869"/>
    <w:rsid w:val="00336E85"/>
    <w:rsid w:val="0035118F"/>
    <w:rsid w:val="00352A1F"/>
    <w:rsid w:val="003617F2"/>
    <w:rsid w:val="00361D08"/>
    <w:rsid w:val="00373BD9"/>
    <w:rsid w:val="003A1C3A"/>
    <w:rsid w:val="003C450D"/>
    <w:rsid w:val="003C4A9D"/>
    <w:rsid w:val="004046DA"/>
    <w:rsid w:val="0040567A"/>
    <w:rsid w:val="00414C09"/>
    <w:rsid w:val="00420013"/>
    <w:rsid w:val="0042110E"/>
    <w:rsid w:val="00435521"/>
    <w:rsid w:val="00437850"/>
    <w:rsid w:val="00442033"/>
    <w:rsid w:val="00454FC1"/>
    <w:rsid w:val="004571F1"/>
    <w:rsid w:val="00466DBE"/>
    <w:rsid w:val="00496D82"/>
    <w:rsid w:val="004D6E51"/>
    <w:rsid w:val="004E55A3"/>
    <w:rsid w:val="004F53E4"/>
    <w:rsid w:val="005104EC"/>
    <w:rsid w:val="00522844"/>
    <w:rsid w:val="005312B6"/>
    <w:rsid w:val="00537EE6"/>
    <w:rsid w:val="00571396"/>
    <w:rsid w:val="005933A5"/>
    <w:rsid w:val="0059504C"/>
    <w:rsid w:val="005A1A42"/>
    <w:rsid w:val="005B08E1"/>
    <w:rsid w:val="005D6C75"/>
    <w:rsid w:val="00607B97"/>
    <w:rsid w:val="00616EC2"/>
    <w:rsid w:val="00630087"/>
    <w:rsid w:val="006B3CF9"/>
    <w:rsid w:val="006C0341"/>
    <w:rsid w:val="006C1495"/>
    <w:rsid w:val="006E3F14"/>
    <w:rsid w:val="0073021B"/>
    <w:rsid w:val="00734C07"/>
    <w:rsid w:val="00776357"/>
    <w:rsid w:val="007766E9"/>
    <w:rsid w:val="00777DDA"/>
    <w:rsid w:val="007A0550"/>
    <w:rsid w:val="007A3817"/>
    <w:rsid w:val="007B2BB8"/>
    <w:rsid w:val="007C2EFD"/>
    <w:rsid w:val="007C405D"/>
    <w:rsid w:val="007C5286"/>
    <w:rsid w:val="008138AE"/>
    <w:rsid w:val="00816170"/>
    <w:rsid w:val="00824204"/>
    <w:rsid w:val="00842823"/>
    <w:rsid w:val="008443B8"/>
    <w:rsid w:val="00850E2E"/>
    <w:rsid w:val="00854803"/>
    <w:rsid w:val="00864BD6"/>
    <w:rsid w:val="00874EFD"/>
    <w:rsid w:val="008A3F16"/>
    <w:rsid w:val="008C4396"/>
    <w:rsid w:val="008C775D"/>
    <w:rsid w:val="008D4D9D"/>
    <w:rsid w:val="008E006B"/>
    <w:rsid w:val="008E0A44"/>
    <w:rsid w:val="008F7E56"/>
    <w:rsid w:val="00920963"/>
    <w:rsid w:val="00920D72"/>
    <w:rsid w:val="00926274"/>
    <w:rsid w:val="009408DA"/>
    <w:rsid w:val="00941017"/>
    <w:rsid w:val="009645A3"/>
    <w:rsid w:val="00964D67"/>
    <w:rsid w:val="00964E51"/>
    <w:rsid w:val="00973570"/>
    <w:rsid w:val="009B3467"/>
    <w:rsid w:val="009D466F"/>
    <w:rsid w:val="009D67C3"/>
    <w:rsid w:val="009E7FA0"/>
    <w:rsid w:val="009F559C"/>
    <w:rsid w:val="00A063CB"/>
    <w:rsid w:val="00A119FB"/>
    <w:rsid w:val="00A202D4"/>
    <w:rsid w:val="00A32CD8"/>
    <w:rsid w:val="00A40146"/>
    <w:rsid w:val="00A40945"/>
    <w:rsid w:val="00A55133"/>
    <w:rsid w:val="00A57550"/>
    <w:rsid w:val="00A62EA5"/>
    <w:rsid w:val="00A64C32"/>
    <w:rsid w:val="00A6565B"/>
    <w:rsid w:val="00A755D8"/>
    <w:rsid w:val="00AA3C93"/>
    <w:rsid w:val="00AA3E51"/>
    <w:rsid w:val="00AA4110"/>
    <w:rsid w:val="00AA4B00"/>
    <w:rsid w:val="00AE13A1"/>
    <w:rsid w:val="00B03E59"/>
    <w:rsid w:val="00B11A09"/>
    <w:rsid w:val="00B16820"/>
    <w:rsid w:val="00B301A4"/>
    <w:rsid w:val="00B32788"/>
    <w:rsid w:val="00B32DA8"/>
    <w:rsid w:val="00B342CD"/>
    <w:rsid w:val="00B36B97"/>
    <w:rsid w:val="00B42394"/>
    <w:rsid w:val="00B639BD"/>
    <w:rsid w:val="00B81779"/>
    <w:rsid w:val="00BA1DF6"/>
    <w:rsid w:val="00BA31EF"/>
    <w:rsid w:val="00BB5D9E"/>
    <w:rsid w:val="00BD0EC7"/>
    <w:rsid w:val="00BE71C8"/>
    <w:rsid w:val="00BF4738"/>
    <w:rsid w:val="00C128CD"/>
    <w:rsid w:val="00C2710D"/>
    <w:rsid w:val="00C3616F"/>
    <w:rsid w:val="00C76DB4"/>
    <w:rsid w:val="00C87A69"/>
    <w:rsid w:val="00C92878"/>
    <w:rsid w:val="00C953BC"/>
    <w:rsid w:val="00CA2C22"/>
    <w:rsid w:val="00CB0795"/>
    <w:rsid w:val="00CE6C16"/>
    <w:rsid w:val="00D0345F"/>
    <w:rsid w:val="00D12232"/>
    <w:rsid w:val="00D1263F"/>
    <w:rsid w:val="00D22D05"/>
    <w:rsid w:val="00D2706B"/>
    <w:rsid w:val="00D36963"/>
    <w:rsid w:val="00D47470"/>
    <w:rsid w:val="00D5004B"/>
    <w:rsid w:val="00D655DA"/>
    <w:rsid w:val="00D65AFB"/>
    <w:rsid w:val="00D73453"/>
    <w:rsid w:val="00D80261"/>
    <w:rsid w:val="00DA0BFC"/>
    <w:rsid w:val="00DB733D"/>
    <w:rsid w:val="00DF0C85"/>
    <w:rsid w:val="00DF19D8"/>
    <w:rsid w:val="00DF6CFC"/>
    <w:rsid w:val="00E02E4E"/>
    <w:rsid w:val="00E07D52"/>
    <w:rsid w:val="00E10591"/>
    <w:rsid w:val="00E25199"/>
    <w:rsid w:val="00E57E07"/>
    <w:rsid w:val="00E73087"/>
    <w:rsid w:val="00E75A3B"/>
    <w:rsid w:val="00EA42F6"/>
    <w:rsid w:val="00EB57EB"/>
    <w:rsid w:val="00ED157F"/>
    <w:rsid w:val="00ED78E2"/>
    <w:rsid w:val="00EE7921"/>
    <w:rsid w:val="00EF0055"/>
    <w:rsid w:val="00EF0BCE"/>
    <w:rsid w:val="00EF17EB"/>
    <w:rsid w:val="00F066B3"/>
    <w:rsid w:val="00F20828"/>
    <w:rsid w:val="00F31934"/>
    <w:rsid w:val="00F35665"/>
    <w:rsid w:val="00F544CE"/>
    <w:rsid w:val="00F548E4"/>
    <w:rsid w:val="00F565C6"/>
    <w:rsid w:val="00F94BBB"/>
    <w:rsid w:val="00FA4667"/>
    <w:rsid w:val="00F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D6BA"/>
  <w15:chartTrackingRefBased/>
  <w15:docId w15:val="{1BA7BBE6-103A-40DE-83F2-C6B24841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2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6CDD7-B083-4EC8-B617-B6DAEC3F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2840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Grocholewska</dc:creator>
  <cp:keywords/>
  <dc:description/>
  <cp:lastModifiedBy>Joanna Grocholewska</cp:lastModifiedBy>
  <cp:revision>2</cp:revision>
  <dcterms:created xsi:type="dcterms:W3CDTF">2024-11-06T07:21:00Z</dcterms:created>
  <dcterms:modified xsi:type="dcterms:W3CDTF">2024-11-06T07:21:00Z</dcterms:modified>
</cp:coreProperties>
</file>