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86062" w14:textId="77777777" w:rsidR="00C450B1" w:rsidRPr="009D3CAA" w:rsidRDefault="00C450B1" w:rsidP="00C450B1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CAA">
        <w:rPr>
          <w:rFonts w:ascii="Times New Roman" w:hAnsi="Times New Roman" w:cs="Times New Roman"/>
          <w:b/>
          <w:bCs/>
          <w:sz w:val="24"/>
          <w:szCs w:val="24"/>
        </w:rPr>
        <w:t>WYKAZ WNIOSKÓW</w:t>
      </w:r>
    </w:p>
    <w:p w14:paraId="02FB37E0" w14:textId="77777777" w:rsidR="009331DD" w:rsidRDefault="00C450B1" w:rsidP="00D2502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CAA">
        <w:rPr>
          <w:rFonts w:ascii="Times New Roman" w:hAnsi="Times New Roman" w:cs="Times New Roman"/>
          <w:b/>
          <w:bCs/>
          <w:sz w:val="24"/>
          <w:szCs w:val="24"/>
        </w:rPr>
        <w:t xml:space="preserve">złożonych do miejscowego planu zagospodarowania przestrzennego </w:t>
      </w:r>
    </w:p>
    <w:p w14:paraId="3897A7EE" w14:textId="11DF54AA" w:rsidR="00097FB5" w:rsidRPr="009D3CAA" w:rsidRDefault="001A274E" w:rsidP="00D25021">
      <w:pPr>
        <w:spacing w:after="24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części wsi </w:t>
      </w:r>
      <w:r w:rsidR="0084659B">
        <w:rPr>
          <w:rFonts w:ascii="Times New Roman" w:hAnsi="Times New Roman" w:cs="Times New Roman"/>
          <w:b/>
          <w:bCs/>
          <w:sz w:val="24"/>
          <w:szCs w:val="24"/>
        </w:rPr>
        <w:t xml:space="preserve">Gołąbki, gm. Trzemeszno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46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66"/>
        <w:gridCol w:w="1252"/>
        <w:gridCol w:w="3185"/>
        <w:gridCol w:w="1844"/>
        <w:gridCol w:w="1557"/>
        <w:gridCol w:w="1704"/>
        <w:gridCol w:w="2836"/>
      </w:tblGrid>
      <w:tr w:rsidR="00343CF0" w:rsidRPr="009D3CAA" w14:paraId="4A870C7B" w14:textId="77777777" w:rsidTr="00E644DC">
        <w:trPr>
          <w:trHeight w:val="986"/>
          <w:jc w:val="center"/>
        </w:trPr>
        <w:tc>
          <w:tcPr>
            <w:tcW w:w="255" w:type="pct"/>
            <w:vMerge w:val="restart"/>
            <w:vAlign w:val="center"/>
            <w:hideMark/>
          </w:tcPr>
          <w:p w14:paraId="068C1B5A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480" w:type="pct"/>
            <w:vMerge w:val="restart"/>
            <w:vAlign w:val="center"/>
            <w:hideMark/>
          </w:tcPr>
          <w:p w14:paraId="4801FC2C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Data wpływu wniosku</w:t>
            </w:r>
          </w:p>
        </w:tc>
        <w:tc>
          <w:tcPr>
            <w:tcW w:w="1221" w:type="pct"/>
            <w:vMerge w:val="restart"/>
            <w:vAlign w:val="center"/>
            <w:hideMark/>
          </w:tcPr>
          <w:p w14:paraId="0F3411D5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Imię i nazwisko albo nazwa jednostki organizacyjnej</w:t>
            </w:r>
          </w:p>
        </w:tc>
        <w:tc>
          <w:tcPr>
            <w:tcW w:w="707" w:type="pct"/>
            <w:vMerge w:val="restart"/>
            <w:vAlign w:val="center"/>
            <w:hideMark/>
          </w:tcPr>
          <w:p w14:paraId="5B9CD6CB" w14:textId="53EF4C71" w:rsidR="00343CF0" w:rsidRPr="009D3CAA" w:rsidRDefault="00343CF0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Oznaczenie obszaru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,</w:t>
            </w: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 którego dotyczy wniosek</w:t>
            </w:r>
          </w:p>
        </w:tc>
        <w:tc>
          <w:tcPr>
            <w:tcW w:w="1250" w:type="pct"/>
            <w:gridSpan w:val="2"/>
            <w:vAlign w:val="center"/>
            <w:hideMark/>
          </w:tcPr>
          <w:p w14:paraId="2AE90F5A" w14:textId="4FE83D23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Sposób rozpatrzenia wniosku przez</w:t>
            </w:r>
            <w:r w:rsidR="00B26566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burmistrza</w:t>
            </w:r>
          </w:p>
        </w:tc>
        <w:tc>
          <w:tcPr>
            <w:tcW w:w="1087" w:type="pct"/>
            <w:vMerge w:val="restart"/>
            <w:vAlign w:val="center"/>
            <w:hideMark/>
          </w:tcPr>
          <w:p w14:paraId="49FEAEDC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Uwagi</w:t>
            </w:r>
          </w:p>
        </w:tc>
      </w:tr>
      <w:tr w:rsidR="00343CF0" w:rsidRPr="009D3CAA" w14:paraId="0A2ABB54" w14:textId="77777777" w:rsidTr="00E644DC">
        <w:trPr>
          <w:trHeight w:val="189"/>
          <w:jc w:val="center"/>
        </w:trPr>
        <w:tc>
          <w:tcPr>
            <w:tcW w:w="255" w:type="pct"/>
            <w:vMerge/>
            <w:vAlign w:val="center"/>
            <w:hideMark/>
          </w:tcPr>
          <w:p w14:paraId="39F6AD5D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480" w:type="pct"/>
            <w:vMerge/>
            <w:vAlign w:val="center"/>
            <w:hideMark/>
          </w:tcPr>
          <w:p w14:paraId="4765AB17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1" w:type="pct"/>
            <w:vMerge/>
            <w:vAlign w:val="center"/>
            <w:hideMark/>
          </w:tcPr>
          <w:p w14:paraId="2261772F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7" w:type="pct"/>
            <w:vMerge/>
            <w:vAlign w:val="center"/>
            <w:hideMark/>
          </w:tcPr>
          <w:p w14:paraId="10261A26" w14:textId="749D111F" w:rsidR="00343CF0" w:rsidRPr="009D3CAA" w:rsidRDefault="00343CF0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97" w:type="pct"/>
            <w:noWrap/>
            <w:vAlign w:val="center"/>
            <w:hideMark/>
          </w:tcPr>
          <w:p w14:paraId="20C5CFA4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wniosek uwzględniony</w:t>
            </w:r>
          </w:p>
        </w:tc>
        <w:tc>
          <w:tcPr>
            <w:tcW w:w="653" w:type="pct"/>
            <w:noWrap/>
            <w:vAlign w:val="center"/>
            <w:hideMark/>
          </w:tcPr>
          <w:p w14:paraId="5FBB8405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wniosek nieuwzględniony</w:t>
            </w:r>
          </w:p>
        </w:tc>
        <w:tc>
          <w:tcPr>
            <w:tcW w:w="1087" w:type="pct"/>
            <w:vMerge/>
            <w:vAlign w:val="center"/>
            <w:hideMark/>
          </w:tcPr>
          <w:p w14:paraId="37C48B8F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343CF0" w:rsidRPr="009D3CAA" w14:paraId="6D60E265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  <w:hideMark/>
          </w:tcPr>
          <w:p w14:paraId="246138D8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480" w:type="pct"/>
            <w:noWrap/>
            <w:vAlign w:val="center"/>
            <w:hideMark/>
          </w:tcPr>
          <w:p w14:paraId="40CE7A34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221" w:type="pct"/>
            <w:noWrap/>
            <w:vAlign w:val="center"/>
            <w:hideMark/>
          </w:tcPr>
          <w:p w14:paraId="4C32FE86" w14:textId="77777777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9D3CA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</w:t>
            </w:r>
          </w:p>
        </w:tc>
        <w:tc>
          <w:tcPr>
            <w:tcW w:w="707" w:type="pct"/>
            <w:noWrap/>
            <w:vAlign w:val="center"/>
            <w:hideMark/>
          </w:tcPr>
          <w:p w14:paraId="5B5B2827" w14:textId="5E0CAD48" w:rsidR="00343CF0" w:rsidRPr="009D3CAA" w:rsidRDefault="00343CF0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</w:t>
            </w:r>
          </w:p>
        </w:tc>
        <w:tc>
          <w:tcPr>
            <w:tcW w:w="597" w:type="pct"/>
            <w:noWrap/>
            <w:vAlign w:val="center"/>
            <w:hideMark/>
          </w:tcPr>
          <w:p w14:paraId="53205953" w14:textId="402300B5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5</w:t>
            </w:r>
          </w:p>
        </w:tc>
        <w:tc>
          <w:tcPr>
            <w:tcW w:w="653" w:type="pct"/>
            <w:noWrap/>
            <w:vAlign w:val="center"/>
            <w:hideMark/>
          </w:tcPr>
          <w:p w14:paraId="1B0FBA58" w14:textId="1AD4E57D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</w:t>
            </w:r>
          </w:p>
        </w:tc>
        <w:tc>
          <w:tcPr>
            <w:tcW w:w="1087" w:type="pct"/>
            <w:noWrap/>
            <w:vAlign w:val="center"/>
            <w:hideMark/>
          </w:tcPr>
          <w:p w14:paraId="456C78BE" w14:textId="392F38C0" w:rsidR="00343CF0" w:rsidRPr="009D3CAA" w:rsidRDefault="00343CF0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7</w:t>
            </w:r>
          </w:p>
        </w:tc>
      </w:tr>
      <w:tr w:rsidR="0084659B" w:rsidRPr="009D3CAA" w14:paraId="1A2C1798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6826EA18" w14:textId="7D55841E" w:rsidR="0084659B" w:rsidRPr="009D3CAA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480" w:type="pct"/>
            <w:noWrap/>
            <w:vAlign w:val="center"/>
          </w:tcPr>
          <w:p w14:paraId="37EF8A70" w14:textId="6F751E5B" w:rsidR="0084659B" w:rsidRPr="009D3CAA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03.09.2025 r.</w:t>
            </w:r>
          </w:p>
        </w:tc>
        <w:tc>
          <w:tcPr>
            <w:tcW w:w="1221" w:type="pct"/>
            <w:noWrap/>
            <w:vAlign w:val="center"/>
          </w:tcPr>
          <w:p w14:paraId="7E6A798C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Państwowy Powiatowy Inspektor Sanitarny w Gnieźnie </w:t>
            </w:r>
          </w:p>
          <w:p w14:paraId="60DA19BB" w14:textId="38443EE8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Św. Wawrzyńca 18, </w:t>
            </w:r>
          </w:p>
          <w:p w14:paraId="7B9EBDDB" w14:textId="2F1D6152" w:rsidR="0084659B" w:rsidRPr="009D3CAA" w:rsidRDefault="0084659B" w:rsidP="008465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62-200 Gniezno </w:t>
            </w:r>
          </w:p>
        </w:tc>
        <w:tc>
          <w:tcPr>
            <w:tcW w:w="707" w:type="pct"/>
            <w:noWrap/>
            <w:vAlign w:val="center"/>
          </w:tcPr>
          <w:p w14:paraId="13E66C3A" w14:textId="38F23AF7" w:rsidR="0084659B" w:rsidRDefault="0084659B" w:rsidP="003F6F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09D2B5AE" w14:textId="3FCCE42E" w:rsidR="0084659B" w:rsidRPr="0084659B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7390880F" w14:textId="325A995F" w:rsidR="0084659B" w:rsidRDefault="0084659B" w:rsidP="001B1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AC09BF7" w14:textId="54BBB249" w:rsidR="00612AE2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Państwowy Powiatowy Inspektor Sanitarny w Gnieźnie działając na podstawie art. 3 pkt 1 ustawy z dnia 14 marca 1985 r. o Państwowej Inspekcji Sanitarnej (t.j. Dz. U. z 2024 r. poz. 416), art. 53 oraz art. 58 ust. 1 pkt 3 ustawy z dnia 3 października 2008 r.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udostępnieniu informacji o środowisku i jego ochronie, udziale społeczeństwa w ochronie środowiska oraz o ocenach oddziaływania na środowisko (t.j. Dz. U. z 2024 r. poz. 1112 ze zm.) po zapoznaniu się z wnioskiem Burmistrza Trzemeszna znak RI.6722.16.2024 z dnia 14.08.2024 r. (data wpływu 14.08.2025 r.), uzgadnia zakres i stopień szczegółowości informacji wymaganych w prognozie oddziaływania na środowisko oraz</w:t>
            </w:r>
            <w:bookmarkStart w:id="0" w:name="bookmark5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stwierdza</w:t>
            </w:r>
            <w:bookmarkEnd w:id="0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że prognoza oddziaływania na środowisko winna być opracowana zgodnie z wymogami art. 51 ust. 2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art.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52 ust. 1 i 2 ustawy o udostępnieniu informacji o środowisku i jego ochronie, udziale społeczeństwa w ochronie środowiska oraz o ocenach oddziaływania na środowisko.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Należy szczególną uwagę zwrócić na przedstawienie rozwiązań mających na celu zapobieganie,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ograniczenie lub kompensację przyrodniczą negatywnych oddziaływań na środowisko, w tym na warunki życia i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zdrowia ludzi, co winno znaleźć odzwierciedlenie w treści sporządzanego dokumentu.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Jednocześnie zgodnie z art. 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ust. 2 ww. ustawy, ilekroć jest mowa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oddziaływaniu na środowisko rozumie się przez to również oddziaływanie 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zdrowie ludzi.</w:t>
            </w:r>
          </w:p>
        </w:tc>
      </w:tr>
      <w:tr w:rsidR="0084659B" w:rsidRPr="009D3CAA" w14:paraId="3719C6CD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33B296C7" w14:textId="771A2230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2.</w:t>
            </w:r>
          </w:p>
        </w:tc>
        <w:tc>
          <w:tcPr>
            <w:tcW w:w="480" w:type="pct"/>
            <w:noWrap/>
            <w:vAlign w:val="center"/>
          </w:tcPr>
          <w:p w14:paraId="654F2ABB" w14:textId="5A3FA566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19.09.2025 r. </w:t>
            </w:r>
          </w:p>
        </w:tc>
        <w:tc>
          <w:tcPr>
            <w:tcW w:w="1221" w:type="pct"/>
            <w:noWrap/>
            <w:vAlign w:val="center"/>
          </w:tcPr>
          <w:p w14:paraId="080B48E7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Wojewódzki Urząd Ochrony Zabytków w Poznaniu </w:t>
            </w:r>
          </w:p>
          <w:p w14:paraId="7EA4CEAA" w14:textId="0024CB61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Gołębia 2, </w:t>
            </w:r>
          </w:p>
          <w:p w14:paraId="29272AFE" w14:textId="1E0AA8AD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61-834 Poznań</w:t>
            </w:r>
          </w:p>
        </w:tc>
        <w:tc>
          <w:tcPr>
            <w:tcW w:w="707" w:type="pct"/>
            <w:noWrap/>
            <w:vAlign w:val="center"/>
          </w:tcPr>
          <w:p w14:paraId="5EA90AB1" w14:textId="60D55917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160C1FE4" w14:textId="73C7B0ED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A301D68" w14:textId="4EDB71AD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52E505BB" w14:textId="0BA4F8FA" w:rsidR="0084659B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Przedmiotowy obszar nie znajduje się na terenie objętym ochroną konserwatorską w formie wpisu do rejestru zabytków. 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wskazanej działce nie występują również zabytki wpisane indywidualnie do rejestru zabytków oraz obiekty ujęte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gminnej ewidencji zabytków. Ponadto na wskazanym terenie brak zewidencjonowanych stanowisk archeologicznych.</w:t>
            </w:r>
          </w:p>
        </w:tc>
      </w:tr>
      <w:tr w:rsidR="0084659B" w:rsidRPr="009D3CAA" w14:paraId="72D1648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23E24D4C" w14:textId="699A8F87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480" w:type="pct"/>
            <w:noWrap/>
            <w:vAlign w:val="center"/>
          </w:tcPr>
          <w:p w14:paraId="3BBC248B" w14:textId="198088A8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15.09.2025 r.</w:t>
            </w:r>
          </w:p>
        </w:tc>
        <w:tc>
          <w:tcPr>
            <w:tcW w:w="1221" w:type="pct"/>
            <w:noWrap/>
            <w:vAlign w:val="center"/>
          </w:tcPr>
          <w:p w14:paraId="2971691B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ORLENA S.A. </w:t>
            </w:r>
          </w:p>
          <w:p w14:paraId="456918DB" w14:textId="237A397D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ul. Chemików 7,</w:t>
            </w:r>
          </w:p>
          <w:p w14:paraId="3BD2AA5C" w14:textId="3778FEC5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09-411 Płock </w:t>
            </w:r>
          </w:p>
        </w:tc>
        <w:tc>
          <w:tcPr>
            <w:tcW w:w="707" w:type="pct"/>
            <w:noWrap/>
            <w:vAlign w:val="center"/>
          </w:tcPr>
          <w:p w14:paraId="1BDE584D" w14:textId="0F9585E2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3BEE4363" w14:textId="763DE712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3E9BF665" w14:textId="3FD691AE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0485AD6" w14:textId="0B9AE549" w:rsidR="0084659B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Nawiązując do pisma Urzędu Miejskiego w Trzemesznie z dnia 14.08.2025 r. znak: RI.6722.16.2024 w sprawie sporządzania miejscowego planu zagospodarowania przestrzennego oraz zmiany miejscowego planu zagospodarowania przestrzennego terenu części wsi Gołąbki, gm.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Trzemeszno uprzejmie informujemy, że przedmiotowy teren nie leży na obszarze i terenie górniczym, utworzonym w związku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wydobywaniem ropy naftowej i gazu ziemnego przez ORLEN S.A. - Oddział PGNiG w Zielonej Górze.</w:t>
            </w:r>
          </w:p>
        </w:tc>
      </w:tr>
      <w:tr w:rsidR="0084659B" w:rsidRPr="009D3CAA" w14:paraId="526DFB2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4FCA44E2" w14:textId="16E1D30D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480" w:type="pct"/>
            <w:noWrap/>
            <w:vAlign w:val="center"/>
          </w:tcPr>
          <w:p w14:paraId="1DC177C8" w14:textId="72C50120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09.09.2025 r.</w:t>
            </w:r>
          </w:p>
        </w:tc>
        <w:tc>
          <w:tcPr>
            <w:tcW w:w="1221" w:type="pct"/>
            <w:noWrap/>
            <w:vAlign w:val="center"/>
          </w:tcPr>
          <w:p w14:paraId="55D8042F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Regionalny Dyrektor Ochrony Środowiska w Poznaniu </w:t>
            </w:r>
          </w:p>
          <w:p w14:paraId="063B580E" w14:textId="1177834A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T. Kościuszki 57, </w:t>
            </w:r>
          </w:p>
          <w:p w14:paraId="221CF9CB" w14:textId="3658EAAB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61-891 Poznań</w:t>
            </w:r>
          </w:p>
        </w:tc>
        <w:tc>
          <w:tcPr>
            <w:tcW w:w="707" w:type="pct"/>
            <w:noWrap/>
            <w:vAlign w:val="center"/>
          </w:tcPr>
          <w:p w14:paraId="4CA794D2" w14:textId="5BBD95E2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54051F58" w14:textId="132BE2E9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39051C0" w14:textId="15ACB606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35834EE" w14:textId="5C7BBDB7" w:rsidR="00612AE2" w:rsidRPr="00612AE2" w:rsidRDefault="00612AE2" w:rsidP="00612A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Prognoza powinna być opracowana zgodnie z art. 51 ust. 2 i art. 52 ust. 1 i 2 ustawy ooś.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Sporządzając prognozę i projekt planu proszę uwzględnić działania naprawcze zawarte w „Programie ochrony powietrza dla strefy wielkopolskiej", przyjętym uchwałą Nr XXI/391/20 Sejmiku Województwa Wielkopolskiego z dnia 13 lipca 2020 r. w sprawie określenia Programu ochrony powietrza dla strefy wielkopolskiej (Dz.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Urz. Woj. Wielkopolskiego z 2020 r. poz. 5954), w szczególności dotyczące umieszczania odpowiednich zapisów, umożliwiających ograniczenie emisji pyłu zawieszonego PM10 i PM2,5 oraz B(a)P w miejscowych planach zagospodarowania przestrzennego w zakresie: układu zabudowy zapewniającego przewietrzanie miasta, wprowadzania zieleni izolacyjnej, w tym zieleni wzdłuż ciągów komunikacyjnych o dużym natężeniu ruchu, zachowania ciągłości korytarzy ekologicznych, kształtowania zabudowy w sposób umożliwiający swobodny przepływ mas powietrza, stosowania odpowiednich wskaźników powierzchni biologicznie czynnej towarzyszącej zabudowie, tworzenia publicznych terenów zieleni urządzonej, w tym parków, skwerów, uwzględniania rozbudowy i kształtowania sieci ulic obwodowych powodujących eliminację lub ograniczenie ruchu tranzytowego oraz umożliwiających uspokojenie ruchu, tworzenia stref ruchu pieszego i uspokojonego w szczególności w centrach miast, wdrażania rozwiązań systemowych dedykowanych rozwojowi ruchu rowerowego i pieszego. W prognozie proszę określić przewidywane oddziaływanie istniejących i planowanych szlaków komunikacyjnych oraz innych terenów, na których są lub będą zlokalizowane przedsięwzięcia mogące powodować pogorszenie stanu powietrza na terenach objętych projektem planu i terenach sąsiednich. W projekcie planu i prognozie proszę zaproponować środki organizacyjne, technologiczne lub techniczne służące ograniczeniu ewentualnego niekorzystnego oddziaływania powodowanego emisją substancji do powietrza.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określić, przeanalizować i ocenić wpływ realizacji ustaleń projektu planu na klimat (w tym mikroklimat), w szczególności na kształtowanie się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warunków termicznych, anemometrycznych, wilgotnościowych.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również przeanalizować w jaki sposób przewidywana zmiana klimatu (mikroklimatu) wpłynie na pozostałe komponenty środowiska. Określając wpływ realizacji ustaleń projektu planu na klimat wskazane jest uwzględnienie zaleceń zawartych w opracowaniu „Strategiczny plan adaptacji dla sektorów i obszarów wrażliwych na zmiany klimatu do roku 2020 z perspektywą do roku 2030" (SPA2020), opublikowanym na stronie internetowej Ministerstwa Klimatu i Środowiska. Sporządzając projekt planu i prognozę proszę również uwzględnić możliwość realizacji działań adaptacyjnych do zmiany klimatu, uwzględniających m.in. ochronę struktur przyrodniczych i terenów biologicznie czynnych, zachowanie spójności i drożności sieci ekologicznej, przeciwdziałanie wzrostowi temperatury na terenach zabudowanych i jego skutkom, zwiększenie retencji poprzez wydłużenie czasu obiegu wody i spowolnienie jej odpływu.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również określić, przeanalizować i ocenić wpływ realizacji ustaleń projektu planu na krajobraz, mając na uwadze potrzebę ochrony krajobrazu oraz konieczność prowadzenia działań na rzecz zachowania i utrzymywania ważnych lub charakterystycznych cech krajobrazu tak, aby ukierunkować i harmonizować zmiany, które wynikają z procesów społecznych, gospodarczych i środowiskowych, w myśl Europejskiej Konwencji Krajobrazowej sporządzonej we Florencji dnia 20 października 2000 r. (Dz. U. z 2006 r. Nr 14, poz. 98).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wskazać, czy obszar objęty projektem planu położony jest w granicach krajobrazów priorytetowych określonych w „Audycie krajobrazowym województwa wielkopolskiego", przyjętym uchwałą Nr LI/1000/23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Sejmiku Województwa Wielkopolskiego z dnia 27 marca 2023 r. w sprawie uchwalenia Audytu krajobrazowego województwa wielkopolskiego. W projekcie planu proszę zawrzeć odpowiednie zapisy w tym zakresie. W prognozie proszę ponadto przeanalizować zgodność ustaleń projektu dokumentu z wnioskami i rekomendacjami dotyczącymi kształtowania i ochrony krajobrazów priorytetowych.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Na podstawie art. 114 ust. 1 ustawy z dnia 27 kwietnia 2001 r. Prawo ochrony środowiska (Dz. U. z 2024 r. poz. 54, z późn. zm.) w projekcie planu proszę wskazać, które tereny należą do poszczególnych rodzajów terenów, o których mowa w art. 113 ust. 2 pkt 1 ww. ustawy oraz w rozporządzeniu Ministra Środowiska z dnia 14 czerwca 2007 r. w sprawie dopuszczalnych poziomów hałasu w środowisku (Dz. U. z 2014 r. poz. 112). Powyższe zróżnicowanie jednoznacznie określi dopuszczalne poziomy hałasu w środowisku, które należy dotrzymać w związku z pełnionymi przez te tereny funkcjami. W prognozie proszę przedstawić opis zagospodarowania terenów wokół obszaru opracowania z uwzględnieniem przedsięwzięć, w tym szlaków komunikacyjnych mogących wpływać na klimat akustyczny terenów objętych ustaleniami projektu planu oraz ocenę wpływu tych przedsięwzięć, w tym szlaków komunikacyjnych na tereny objęte ochroną akustyczną znajdujące się w granicach projektu planu. Oddziaływanie przedsięwzięć, które mogą znaleźć się na terenach objętych projektem 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pianu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w wyniku realizacji jego ustaleń, a mogących wpływać na istniejące warunki akustyczne, proszę określić także dla terenów wymagających ochrony znajdujących się w granicach projektu planu, jak i poza nimi. W przypadku możliwości wystąpienia przekroczenia akustycznych standardów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jakości środowiska proszę w prognozie określić skuteczne środki techniczne, technologiczne lub organizacyjne zmniejszające poziom hałasu, co najmniej do poziomów dopuszczalnych.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wskazać jednolite części wód (JCW), w granicach których położony jest obszar objęty projektem planu, określić ich stan oraz wyznaczone dla nich cele środowiskowe. Ponadto, w prognozie proszę określić, przeanalizować i ocenić przewidywane znaczące oddziaływania realizacji ustaleń projektu planu na jednolite części wód. W prognozie proszę wskazać (wraz z uzasadnieniem), czy realizacja ustaleń projektu planu może spowodować nieosiągnięcie celów środowiskowych zawartych w „Planie gospodarowania wodami na obszarze dorzecza Odry", przyjętym rozporządzeniem Ministra Infrastruktury z dnia 16 listopada 2022 r. w sprawie Planu gospodarowania wodami na obszarze dorzecza Odry (Dz. U. z 2023 r. poz. 335).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wskazać, czy obszar objęty projektem planu położony jest w strefie ochronnej ujęcia wód podziemnych. Jeżeli tak, w projekcie planu proszę zawrzeć odpowiednie zapisy w tym zakresie. W prognozie proszę ponadto przeanalizować zgodność ustaleń projektu dokumentu z przepisami dotyczącymi strefy ochronnej, ze szczególnym uwzględnieniem nakazów obowiązujących na terenie ochrony bezpośredniej oraz zakazów, ograniczeń i nakazów obowiązujących na terenie ochrony pośredniej.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opisać warunki hydrogeologiczne oraz przedstawić rozwiązania mające na celu zapobieganie i ograniczenie negatywnego oddziaływania realizacji ustaleń projektu planu na środowisko gruntowo-wodne. W projekcie planu i w prognozie proszę określić zabezpieczenia środowiska gruntowo-wodnego przed zanieczyszczeniem.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określić, przeanalizować i ocenić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skumulowane oddziaływanie istniejących i planowanych funkcji terenów, wynikających z realizacji ustaleń projektu dokumentu oraz terenów sąsiednich, na poszczególne komponenty środowiska, w szczególności na powietrze i wodę oraz klimat akustyczny istniejących i projektowanych terenów podlegających ochronie akustycznej zlokalizowanych w granicach projektu dokumentu, jak i poza nimi.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określić aktualny stan zagospodarowania obszaru objętego projektem planu (w szczególności istniejący stan szaty roślinnej, w tym flory oraz stan fauny), ocenić walory przyrodnicze przedmiotowego obszaru, szczególnie proszę wskazać, czy w jego granicach występują gatunki roślin, grzybów i zwierząt objęte ochroną gatunkową wymienione w rozporządzeniu Ministra Środowiska z dnia 16 grudnia 2016 r. w sprawie ochrony gatunkowej zwierząt (Dz. U. z 2022 r. poz. 2380), w rozporządzeniu Ministra Środowiska z dnia 9 października 2014 r. w sprawie ochrony gatunkowej roślin (Dz. U. z 2014 r. poz. 1409), w rozporządzeniu Ministra Środowiska z dnia 9 października 2014 r. w sprawie ochrony gatunkowej grzybów (Dz. U. z 2014 r, poz. 1408), a także gatunki z załącznika IV Dyrektywy Rady 92/43/EWG z dnia 21 maja 1992 r. w sprawie ochrony siedlisk przyrodniczych oraz dzikiej fauny i flory (Dz. U. L 206 z 22.7.1992, str. 7) - tzw. Dyrektywy Siedliskowej, oraz gatunki zagrożone wyginięciem (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np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, znajdujące się na krajowej bądź regionalnej czerwonej liście) lub rzadkie.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W prognozie proszę określić, przeanalizować i ocenić wpływ realizacji ustaleń projektu planu na rośliny, grzyby i zwierzęta (w tym na gatunki chronione) oraz na różnorodność biologiczną. W prognozie proszę przeanalizować wpływ realizacji ustaleń projektu planu na główne tendencje w zakresie zmiany klimatu i różnorodności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biologicznej oraz wpływające na nie czynniki. W prognozie proszę również zaproponować rozwiązania mające na celu zapobieganie, ograniczanie lub kompensację przyrodniczą negatywnych oddziaływań na rośliny, grzyby i zwierzęta (w tym na gatunki chronione) oraz na różnorodność biologiczną, mogących być rezultatem realizacji ustaleń projektu planu.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 prognozie proszę również wyjaśnić zasadność wyznaczania nowych terenów przeznaczonych do zainwestowania na terenach leśnych, mając na uwadze zasadę zrównoważonego rozwoju oraz art. 71 ust 3 ustawy Prawo ochrony środowiska, zgodnie z którym przeznaczenie i sposób zagospodarowania terenu powinny w jak największym stopniu zapewniać zachowanie jego walorów krajobrazowych. Przy czym informuję, że zgodnie z art. 3 ust. 2 pkt 1 ustawy z dnia 3 lutego 1995 r. o ochronie gruntów rolnych i leśnych (Dz. U. z 2024 r. poz. 82), ochrona gruntów leśnych polega na ograniczaniu przeznaczania ich na cele nieleśne lub nierolnicze, natomiast zgodnie z art. 6 ust. 1 ustawy na cele nierolnicze i nieleśne można przeznaczać przede wszystkim grunty oznaczone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ewidencji gruntów jako nieużytki,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razie ich braku - inne grunty o najniższej przydatności produkcyjnej. Ponadto, w związku z możliwą wycinką istniejącego drzewostanu, wskazane jest wprowadzenie do projektu planu ustaleń dotyczących realizacji kompensujących nasadzeń zieleni.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Na obszarze objętym projektem planu zlokalizowany jest zbiornik wodny (dz. nr 72/2, obr. Gołąbki). Sporządzając projekt planu i prognozę proszę uwzględnić art. 119 ustawy z dnia 16 kwietnia 2004 r. o ochronie przyrody (Dz. U. z 2024 r. poz. 1478, z późn. zm.), zgodnie z którym zabrania się wznoszenia w pobliżu morza, jezior i innych zbiorników wodnych, rzek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i kanałów obiektów budowlanych uniemożliwiających lub utrudniających ludziom i dziko występującym zwierzętom dostęp do wody, z wyjątkiem obiektów służących turystyce wodnej, gospodarce wodnej lub rybackiej oraz związanych z bezpieczeństwem powszechnym i obronnością kraju,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przypadku wprowadzenia nowych nasadzeń drzew </w:t>
            </w:r>
            <w:proofErr w:type="spellStart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iub</w:t>
            </w:r>
            <w:proofErr w:type="spellEnd"/>
            <w:r w:rsidRPr="00612AE2">
              <w:rPr>
                <w:rFonts w:ascii="Times New Roman" w:hAnsi="Times New Roman" w:cs="Times New Roman"/>
                <w:sz w:val="16"/>
                <w:szCs w:val="16"/>
              </w:rPr>
              <w:t xml:space="preserve"> krzewów, zwracam uwagę, że wprowadzanie do środowiska przyrodniczego i przemieszczanie w nim gatunków obcych jest, co do zasady zakazane. Należy mieć na uwadze, że każdy gatunek obcy może w przyszłości stać się gatunkiem zagrażającym rodzimej bioróżnorodności;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odniesieniu do drzew status inwazyjnych zyskały w ostatnich dziesięcioleciach np. jesion pensylwański, dąb czerwony,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regionalnie i lokalnie także bożodrzew gruczołowaty, wiązowiec zachodni czy orzech włoski. Należy uwzględnić przedmiotowe informacje w prognozie.</w:t>
            </w:r>
          </w:p>
          <w:p w14:paraId="329D2A56" w14:textId="0A911A0A" w:rsidR="0084659B" w:rsidRPr="00612AE2" w:rsidRDefault="00612AE2" w:rsidP="00612AE2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12AE2">
              <w:rPr>
                <w:rFonts w:ascii="Times New Roman" w:hAnsi="Times New Roman" w:cs="Times New Roman"/>
                <w:sz w:val="16"/>
                <w:szCs w:val="16"/>
              </w:rPr>
              <w:t>Ponieważ w przepisach nie wskazano na możliwość odstąpienia od wymagań, co do zawartości prognozy oddziaływania na środowisko stwierdzono, że prognoza winna być sporządzona w pełnym zakresie, ze szczególnym uwzględnieniem zagadnień, o których mowa powyżej.</w:t>
            </w:r>
          </w:p>
        </w:tc>
      </w:tr>
      <w:tr w:rsidR="0084659B" w:rsidRPr="009D3CAA" w14:paraId="029C6D04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64A29594" w14:textId="43053F3E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5.</w:t>
            </w:r>
          </w:p>
        </w:tc>
        <w:tc>
          <w:tcPr>
            <w:tcW w:w="480" w:type="pct"/>
            <w:noWrap/>
            <w:vAlign w:val="center"/>
          </w:tcPr>
          <w:p w14:paraId="4C514680" w14:textId="25BF7265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09.09.2025 r.</w:t>
            </w:r>
          </w:p>
        </w:tc>
        <w:tc>
          <w:tcPr>
            <w:tcW w:w="1221" w:type="pct"/>
            <w:noWrap/>
            <w:vAlign w:val="center"/>
          </w:tcPr>
          <w:p w14:paraId="1DD7CBCA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Wielkopolski Wojewódzki Inspektor Ochrony Środowiska w Poznaniu </w:t>
            </w:r>
          </w:p>
          <w:p w14:paraId="421952BA" w14:textId="77777777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Delegatura w Koninie </w:t>
            </w:r>
          </w:p>
          <w:p w14:paraId="17935FF2" w14:textId="13ADBBA2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Kard. S. Wyszyńskiego 3a, </w:t>
            </w:r>
          </w:p>
          <w:p w14:paraId="650A8061" w14:textId="6E20A0EC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62-510 Konin </w:t>
            </w:r>
          </w:p>
        </w:tc>
        <w:tc>
          <w:tcPr>
            <w:tcW w:w="707" w:type="pct"/>
            <w:noWrap/>
            <w:vAlign w:val="center"/>
          </w:tcPr>
          <w:p w14:paraId="5EEBE7F2" w14:textId="3A23F8B7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1B2E1F89" w14:textId="1109575B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537C7E78" w14:textId="2E68ED7D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A0CA82B" w14:textId="57C4872F" w:rsidR="0084659B" w:rsidRPr="00A236D1" w:rsidRDefault="00612AE2" w:rsidP="00A236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Wojewódzki inspektorat Ochrony Środowiska w Poznaniu Delegatura w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Koninie w odpowiedzi na wniosek znak: Rl.6722.16.2024 z dnia 14.08.2024 r. (data wpływu do WIOŚ 21.08.2025 r.), dotyczący zawiadomienia o podjęciu przez Radę Miejską Trzemeszna Uchwały Nr XIX/180/2025 z dnia 28.05.20258 r. w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sprawie zmiany Uchwały Nr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X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/94/2024 Rady Miejskiej Trzemeszna z dnia 30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października 2024 r. o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przystąpieniu do sporządzenia miejscowego planu zagospodarowania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przestrzennego części wsi Gołąbki, gm. Trzemeszno (dz. ewid. nr 21/2 i 72/2), i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składania wniosków, informuje, że nie może wypowiedzieć się w zakresie kompetencji wynikających z art. 17 pkt 6 lit. a ustawy z dnia 27 marca 2003 r. o planowaniu i zagospodarowaniu przestrzennym (t.j. Dz. U. z 2024 r., poz. 1130).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Stosownie do art. 17 pkt 6 lit. a ustawy o planowaniu i zagospodarowaniu przestrzennym WIOŚ opiniuje projekt miejscowego planu zagospodarowania przestrzennego, w zakresie: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lokalizacji nowych zakładów o zwiększonym (ZZR) lub dużym (ZDR) ryzyku wystąpienia poważnych awarii,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z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mian w istniejących zakładach ZZR i ZDR dotyczących rodzajów lub ilości magazynowanych substancji niebezpiecznych,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nowych inwestycji oraz rozmieszczenia obszarów przestrzeni publicznej i terenów zabudowy mieszkaniowej w sąsiedztwie zakładów o zwiększonym lub dużym ryzyku wystąpienia poważnych awarii, w przypadku gdy te inwestycje, obszary lub tereny zwiększają ryzyko lub skutki poważnych awarii.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Zgodnie z rejestrem zakładów o dużym i zwiększonym ryzyku wystąpienia poważnej awarii przemysłowej prowadzonym przez WIOŚ w uzgodnieniu z Komendą Wojewódzką Państwowej Straży Pożarnej, na terenach objętych miejscowym planem nie znajduje się żaden zakład ZZR czy ZDR. Na terenach miasta Trzemeszna pod adresem: ul. Fabryczna 4, 62-240 Trzemeszno, znajduje się zakład o dużym ryzyku wystąpienia awarii (ZDR) - Prefere Resins Poland Spółka z o.o. Zakład znajduje się w odległości ok. 8,7 km w kierunku południowo-wschodnim od granic objętych miejscowym planem.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Celem sporządzenia przedmiotowego projektu zmiany planu jest zmiana załącznika graficznego nr 1 do uchwały Nr</w:t>
            </w:r>
            <w:r w:rsidR="00A236D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X/94/2024 Rady Miejskiej Trzemeszna z dnia 30 października 2024 r., polegająca na rozszerzeniu terenu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objętego opracowaniem o dz. nr geod. 72/1.</w:t>
            </w:r>
          </w:p>
        </w:tc>
      </w:tr>
      <w:tr w:rsidR="0084659B" w:rsidRPr="009D3CAA" w14:paraId="498B9CFA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15DECA81" w14:textId="29530E5A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6.</w:t>
            </w:r>
          </w:p>
        </w:tc>
        <w:tc>
          <w:tcPr>
            <w:tcW w:w="480" w:type="pct"/>
            <w:noWrap/>
            <w:vAlign w:val="center"/>
          </w:tcPr>
          <w:p w14:paraId="1F0B7AFA" w14:textId="4C466142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08.09.2025 r.</w:t>
            </w:r>
          </w:p>
        </w:tc>
        <w:tc>
          <w:tcPr>
            <w:tcW w:w="1221" w:type="pct"/>
            <w:noWrap/>
            <w:vAlign w:val="center"/>
          </w:tcPr>
          <w:p w14:paraId="43126880" w14:textId="7C725A10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ENEA Operator Sp. z o.o. </w:t>
            </w:r>
          </w:p>
          <w:p w14:paraId="23AA2EFC" w14:textId="1CCF43CB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dr. E. Warmińskiego 8, </w:t>
            </w:r>
          </w:p>
          <w:p w14:paraId="16798092" w14:textId="2C197FBA" w:rsidR="0084659B" w:rsidRDefault="0084659B" w:rsidP="008465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85-054 Bydgoszcz </w:t>
            </w:r>
          </w:p>
        </w:tc>
        <w:tc>
          <w:tcPr>
            <w:tcW w:w="707" w:type="pct"/>
            <w:noWrap/>
            <w:vAlign w:val="center"/>
          </w:tcPr>
          <w:p w14:paraId="4E4619E9" w14:textId="6706A0E5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725CD450" w14:textId="0457682E" w:rsidR="0084659B" w:rsidRP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E49E4A4" w14:textId="28447146" w:rsidR="0084659B" w:rsidRDefault="0084659B" w:rsidP="00846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7EF038E2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 związku z powyższym wnioskujemy o wprowadzenie do projektu Planu zagospodarowania przestrzennego niżej wymienionych zapisów:</w:t>
            </w:r>
          </w:p>
          <w:p w14:paraId="60C341C4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Definicja: „Sieć dystrybucyjna energii elektrycznej: sieć elektroenergetyczna wysokich, średnich i niskich napięć, za której ruch sieciowy jest odpowiedzialny operator systemu dystrybucyjnego (OSD) (poprzez sieć elektroenergetyczną należy rozumieć zespół połączonych wzajemnie linii i stacji elektroenergetycznych przeznaczonych do przesyłania i rozdzielania energii elektrycznej). Do sieci dystrybucyjnej energii elektrycznej OSD nie należy kwalifikować linii i stacji elektroenergetycznych nie będących własnością OSD".</w:t>
            </w:r>
          </w:p>
          <w:p w14:paraId="3DBEEC39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„Należy zachować lokalizację istniejącej sieci dystrybucyjnej energii elektrycznej oraz uwzględnić wynikające z jej istnienia obostrzenia w zagospodarowaniu terenu.</w:t>
            </w:r>
          </w:p>
          <w:p w14:paraId="60790F63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Wzdłuż przebiegu istniejących i planowanych linii elektroenergetycznych będących częścią sieci dystrybucyjnej energii elektrycznej uwzględnić pasy technologiczne (pasy ochrony funkcyjnej) w obrębie tychże linii,</w:t>
            </w:r>
          </w:p>
          <w:p w14:paraId="1F502A26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Wyznacza się pasy technologiczne wzdłuż projektowanych i istniejących linii elektroenergetycznych dystrybucyjnych, w poziomie nie mniejsze niż:</w:t>
            </w:r>
          </w:p>
          <w:p w14:paraId="616DBDD5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napowietrznych WN-110 kV- 22 m (po 11 m po każdej ze stron od osi linii);</w:t>
            </w:r>
          </w:p>
          <w:p w14:paraId="4A187FE7" w14:textId="5065AE9C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SN - 14 m (po 7 m po każdej ze stron od osi linii);</w:t>
            </w:r>
          </w:p>
          <w:p w14:paraId="28EF8D7F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napowietrznych nn-0,4 kV~ 7 m (po 3,5 m po każdej ze stron od osi linii);</w:t>
            </w:r>
          </w:p>
          <w:p w14:paraId="09140D0B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kablowych WN~ 1,0 m (po 0,5 m po każdej ze stron od osi linii);</w:t>
            </w:r>
          </w:p>
          <w:p w14:paraId="6145128C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dla linii kablowych SN i nn-0,4 kV~0,5m (po 0,25 m po każdej ze stron od osi linii).</w:t>
            </w:r>
          </w:p>
          <w:p w14:paraId="31E55D80" w14:textId="77777777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Utworzenie pasów technologicznych wzdłuż linii nie powoduje wyłączenia terenu z zagospodarowania, jedynie może wprowadzać ewentualne obostrzenia.</w:t>
            </w:r>
          </w:p>
          <w:p w14:paraId="33832DEF" w14:textId="69EC5461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 pasach technologicznych obowiązuje w szczególności zakaz sadzenia roślinności wysokiej i o rozbudowanym systemie korzeniowym, w tym obowiązuje szerokość pasa wycinki podstawowej drzew na trasie linii wg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przepisów odrębnych.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Pasy technologiczne Unii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napowietrznych 110 kV uwidocznione są dodatkowo w części graficznej dokumentu. Pasy technologiczne nie są równoznaczne z pasami określanymi na potrzeby ustanawiania służebności przesyłu, które wyznacza się w oparciu o inne przepisy." W przypadkach: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projektowania zmian zagospodarowania terenu w pasach technologicznych,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planowania robot budowlanych w odległości liczonej w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poziomie do skrajnych przewodów lub toru kabla, mniejszej niż:</w:t>
            </w:r>
          </w:p>
          <w:p w14:paraId="4A85E637" w14:textId="70CCC37B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15 m dla linii napowietrznych WN-110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kV;</w:t>
            </w:r>
          </w:p>
          <w:p w14:paraId="0DDDB542" w14:textId="554BB998" w:rsidR="00A236D1" w:rsidRPr="00A236D1" w:rsidRDefault="00A236D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10 m dla linii napowietrznych SN-20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kV;</w:t>
            </w:r>
          </w:p>
          <w:p w14:paraId="0D7F6053" w14:textId="40C60275" w:rsidR="00A236D1" w:rsidRPr="00A236D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5 m dla linii napowietrznych SN-15 kV;</w:t>
            </w:r>
          </w:p>
          <w:p w14:paraId="6A9EFE3B" w14:textId="735860B9" w:rsidR="00A236D1" w:rsidRPr="00A236D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3 m dla linii napowietrznych nn-0,4 kV;</w:t>
            </w:r>
          </w:p>
          <w:p w14:paraId="5DCAAC83" w14:textId="77777777" w:rsidR="0056070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3 m dla linii kablowych WN-110 kV;</w:t>
            </w:r>
          </w:p>
          <w:p w14:paraId="48AD7B28" w14:textId="61182AD4" w:rsidR="00A236D1" w:rsidRPr="00A236D1" w:rsidRDefault="00560701" w:rsidP="00560701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- 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2,5 m 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="00A236D1" w:rsidRPr="00A236D1">
              <w:rPr>
                <w:rFonts w:ascii="Times New Roman" w:hAnsi="Times New Roman" w:cs="Times New Roman"/>
                <w:sz w:val="16"/>
                <w:szCs w:val="16"/>
              </w:rPr>
              <w:t>a linii kablowych SN, nn</w:t>
            </w:r>
          </w:p>
          <w:p w14:paraId="66795E72" w14:textId="24EB4BE4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należy dokonywać uzgodnień branżowych z właścicielem tych linii, w szczególności w przypadkach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planowania budowy, przebudowy lub remontu obiektu.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„Wszystkie obiekty przewidywane do budowy, przebudowy lub remontu w zbliżeniu lub na skrzyżowaniu z infrastrukturą techniczną elektroenergetyczną podlegają przepisom odrębnym."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Usunięcie ewentualnych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kolizji wynikających z planowanych zmian zagospodarowania przestrzennego terenu z istniejącą siecią dystrybucyjną energii elektrycznej i/lub infrastrukturą techniczną lub infrastrukturą teletechniczną będącą na majątku ENEA Operator jest możliwe na zasadach określonych przez właściciela sieci kosztem i staraniem wnioskodawcy, któremu infrastruktura elektroenergetyczna koliduje.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„Dopuszcza się budowę nowej infrastruktury technicznej elektroenergetycznej oraz przebudowę, remont i utrzymanie istniejącej infrastruktury technicznej elektroenergetycznej, na podstawie przepisów odrębnych."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„Umożliwia się budowę nowej oraz rozbudowę, przebudowę i remont istniejącej infrastruktury technicznej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elektroenergetycznej dystrybucyjnej z zastosowaniem: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linii elektroenergetycznych WN, SN i nn wraz z przyłączami w wykonaniu kablowym </w:t>
            </w:r>
            <w:proofErr w:type="spellStart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iAub</w:t>
            </w:r>
            <w:proofErr w:type="spellEnd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 napowietrznym,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stacji elektroenergetycznych 110 kV (w tym stacji 110 kV/SN) i SN (w tym stacji SN/nn) w wykonaniu wnętrzowym i/lub napowietrznym.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Umożliwia się lokalizację infrastruktury technicznej elektroenergetycznej dystrybucyjnej liniowej i elementów energetycznych z nią związanych iv pasach drogowych/układach komunikacyjnych tj. terenach ogólnie dostępnych dla prowadzenia sieci." Odstępstwo od </w:t>
            </w:r>
            <w:proofErr w:type="spellStart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ww</w:t>
            </w:r>
            <w:proofErr w:type="spellEnd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, zasady jest możliwe po uzgodnieniu lokalizacji trasy inwestycji pomiędzy właścicielami terenu i gestorem sieci bez konieczności zmiany dokumentu planistycznego.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„Wyznacza się tereny dla potrzeb lokalizacji stacji elektroenergetycznych wraz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możliwością wprowadzenia/ wyprowadzenia do/z stacji linii elektroenergetycznych."</w:t>
            </w:r>
            <w:r w:rsidR="0056070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„Planowane kubaturowe stacje elektroenergetyczne (w tym stacje transformatorowe SN/nn) będące własnością O SD są realizowane jako obiekty naziemne, wolnostojące. Nieprzekraczalna linia zabudowy, minimalna powierzchnia działki, szerokość frontu działki, wyznaczenie miejsc postojowych nie dotyczą istniejących i planowanych obiektów infrastruktury technicznej elektroenergetycznej."</w:t>
            </w:r>
          </w:p>
          <w:p w14:paraId="59292224" w14:textId="5DA77326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„Dopuszcza się prawo do podziału istniejących działek celem wydzielenia terenów dla lokalizacji stacji elektroenergetycznych wraz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możliwością wprowadzenia do stacji linii elektroenergetycznych zgodnie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przepisami odrębnymi."</w:t>
            </w:r>
          </w:p>
          <w:p w14:paraId="1A0F9A0B" w14:textId="626A96C4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„Dopuszcza się lokalizację stacji elektroenergetycznych na terenach o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innym przeznaczeniu wraz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możliwością wprowadzenia do stacji linii elektroenergetycznych zgodnie z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przepisami odrębnymi."</w:t>
            </w:r>
          </w:p>
          <w:p w14:paraId="63955F1A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„Zaopatrzenie w energię elektryczną odbywa się z planowanej, budowanej, przebudowywanej, remontowanej i istniejącej infrastruktury technicznej elektroenergetycznej na podstawie przepisów odrębnych."</w:t>
            </w:r>
          </w:p>
          <w:p w14:paraId="746E50BE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„Zapewnia się swobodny dostęp i dojazd do infrastruktury technicznej elektroenergetycznej, w tym stacji elektroenergetycznych, linii elektroenergetycznych oraz konstrukcji wsporczych (słupów) w celu przeprowadzania prac eksploatacyjnych lub usuwania awarii".</w:t>
            </w:r>
          </w:p>
          <w:p w14:paraId="471C833B" w14:textId="56CEE214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„Tereny lokalizacji źródeł energii dopuszczają łączne usytuowanie do (określić liczbę źródeł energii) szt.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siłowni wiatrowych, biogazowni, biogazown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 xml:space="preserve"> rolniczych, instalacji fotowoltaicznych, instalacji spalania biomasy, instalacji termicznego przekształcania odpadów, instalacji spalania wielopaliwowego f/M; wskazać rodzaj źródła energii) o mocy do (określić moc pojedynczego źródła energii/instalacji, np. 3 MW/ </w:t>
            </w:r>
            <w:proofErr w:type="spellStart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szt</w:t>
            </w:r>
            <w:proofErr w:type="spellEnd"/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)."</w:t>
            </w:r>
          </w:p>
          <w:p w14:paraId="2BE3522A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„Przy lokalizacji nowych jednostek (turbin) zespołów elektrowni wiatrowych należy zapewniać zachowanie odległości od skrajnych przewodów napowietrznych linii elektroenergetycznych, będących częścią sieci dystrybucyjnej energii elektrycznej.</w:t>
            </w:r>
          </w:p>
          <w:p w14:paraId="3E2C9367" w14:textId="1D816F7C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Wyznacza się odległości lokalizacji poszczególnych turbin wiatrowych od istniejących i projektowanych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linii elektroenergetycznych dystrybucyjnych, w poziomie nie mniejsze niż:</w:t>
            </w:r>
          </w:p>
          <w:p w14:paraId="4F1FAFBB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10,0 m od osi linii nn-0,4 kV jednotorowej do średnicy koła wiatrakowego;</w:t>
            </w:r>
          </w:p>
          <w:p w14:paraId="0DA5868F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12,5 m od osi linii SN-15 kV (20 kV) jednotorowej do średnicy kola wiatrakowego;</w:t>
            </w:r>
          </w:p>
          <w:p w14:paraId="2227C576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12,5 m od osi linii nn-0,4 kV wielotorowej do średnicy kola wiatrakowego;</w:t>
            </w:r>
          </w:p>
          <w:p w14:paraId="6ACF0B78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15,0 m od osi linii SN-15 kV (20 kV) wielotorowej do średnicy kola wiatrakowego</w:t>
            </w:r>
          </w:p>
          <w:p w14:paraId="007A52B1" w14:textId="77777777" w:rsidR="00F453CF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3 ^średnica koła wiatrakowego od skrajnego przewodu Unii o napięciu 110 kV nie posiadającej specjalnych amortyzatorów do tłumienia drgań do średnicy kola wiatrakowego;</w:t>
            </w:r>
          </w:p>
          <w:p w14:paraId="71E5C9D6" w14:textId="77777777" w:rsidR="00F453CF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średnica kola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ab/>
              <w:t>wiatrakowego</w:t>
            </w:r>
          </w:p>
          <w:p w14:paraId="7732C5C2" w14:textId="25135663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od skrajnego przewodu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ab/>
              <w:t>linii o napięciu 110 kV posiadającej specjalne amortyzatory do tłumienia drgań do średnicy koła wiatrakowego".</w:t>
            </w:r>
          </w:p>
          <w:p w14:paraId="71D99D9B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„Przy lokalizacji nowych instalacji fotowoltaicznych należy zapewniać w trakcie budowy, użytkowania/eksploatacji zachowanie odległości od osi linii elektroenergetycznej, będącej częścią sieci dystrybucyjnej energii elektrycznej.</w:t>
            </w:r>
          </w:p>
          <w:p w14:paraId="44804682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Wyznacza się odległości lokalizacji poszczególnych instalacji fotowoltaicznych od osi istniejących i projektowanych linii elektroenergetycznych dystrybucyjnych, w poziomie nie mniejsze niż:</w:t>
            </w:r>
          </w:p>
          <w:p w14:paraId="081DC52B" w14:textId="01BA1F6F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WN - 11 m po każdej ze stron od osi linii;</w:t>
            </w:r>
          </w:p>
          <w:p w14:paraId="7921B139" w14:textId="0A540EF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SN - 7 m po każdej ze stron od osi linii;</w:t>
            </w:r>
          </w:p>
          <w:p w14:paraId="1C98D72A" w14:textId="23B62982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F453CF">
              <w:rPr>
                <w:rFonts w:ascii="Times New Roman" w:hAnsi="Times New Roman" w:cs="Times New Roman"/>
                <w:sz w:val="16"/>
                <w:szCs w:val="16"/>
              </w:rPr>
              <w:t>l</w:t>
            </w: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a linii napowietrznych nn - 3,5 m po każdej ze stron od osi linii,</w:t>
            </w:r>
          </w:p>
          <w:p w14:paraId="2E8318B0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kablowych SN i nn - 0,7 m po każdej ze stron od osi linii;</w:t>
            </w:r>
          </w:p>
          <w:p w14:paraId="7656D4C7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dla linii kablowych WN - 1,5 m po każdej ze stron od osi linii.</w:t>
            </w:r>
          </w:p>
          <w:p w14:paraId="7C2DC303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Uwaga: w przypadku kilku linii kablowych prowadzonych równolegle obok siebie, pas technologiczny liczy się 1,5 metra dla WN lub 0,7 m dla SN od osi skrajnej linii.</w:t>
            </w:r>
          </w:p>
          <w:p w14:paraId="029F3983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W pasach technologicznych obowiązuje w szczególności zakaz sytuowania instalacji fotowoltaicznych, sadzenia roślinności wysokiej i o rozbudowanym systemie korzeniowym, w tym obowiązuje szerokość pasa wycinki podstawowej drzew na trasie linii wg przepisów odrębnych.</w:t>
            </w:r>
          </w:p>
          <w:p w14:paraId="316E0DF7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Pasy technologiczne linii napowietrznych uwidocznione są dodatkowo w części graficznej dokumentu. Pasy technologiczne nie są równoznaczne z pasami określanymi na potrzeby ustanawiania służebności przesyłu, które wyznacza się w oparciu o inne przepisy."</w:t>
            </w:r>
          </w:p>
          <w:p w14:paraId="661A791F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Rozmieszczenie źródeł energii o mocy przekraczającej 500 kW, uwidocznione zostało dodatkowo w części graficznej dokumentu.</w:t>
            </w:r>
          </w:p>
          <w:p w14:paraId="20A59A8B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„W przypadku planowania źródła energii w sąsiedztwie infrastruktury technicznej elektroenergetycznej należy przedstawić OSD sposób zagospodarowania działek przeznaczonych pod zabudowę tego źródła uwzględniający swobodny dostęp i dojazd służb OSD do istniejącej infrastruktury w celu przeprowadzania prac eksploatacyjnych lub usuwania awarii".</w:t>
            </w:r>
          </w:p>
          <w:p w14:paraId="0C2678C7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„Przeznaczenie terenów dla lokalizacji źródeł energii nie jest jednoznaczne z możliwością przyłączenia do sieci elektroenergetycznej. Rozpatrzenie możliwości przyłączenia źródła do sieci elektroenergetycznej odbywa się zgodnie z przepisami odrębnymi."</w:t>
            </w:r>
          </w:p>
          <w:p w14:paraId="3AF41933" w14:textId="77777777" w:rsidR="00A236D1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ENEA Operator Sp. z o.o. zwraca uwagę, że stworzenie możliwości prawnych prawidłowej eksploatacji, modernizacji, budowy i rozbudowy sieci elektroenergetycznej jest jednym z podstawowych warunków realizacji obiektów ujętych w opracowaniu, dostarczania do nich energii elektrycznej o prawidłowych parametrach, a zatem jest warunkiem prawidłowego funkcjonowania tych obiektów.</w:t>
            </w:r>
          </w:p>
          <w:p w14:paraId="23D550DB" w14:textId="63CF9BAC" w:rsidR="0084659B" w:rsidRPr="00A236D1" w:rsidRDefault="00A236D1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236D1">
              <w:rPr>
                <w:rFonts w:ascii="Times New Roman" w:hAnsi="Times New Roman" w:cs="Times New Roman"/>
                <w:sz w:val="16"/>
                <w:szCs w:val="16"/>
              </w:rPr>
              <w:t>Ponadto prosimy o przesłanie do ENEA Operator Sp. z o.o. Oddział Dystrybucji Bydgoszcz projektu planu do zaopiniowania, a po uchwaleniu dokumentu o przesłanie prawomocnego egzemplarza w wersji elektronicznej (opcja preferowana z plikami w formacie TIFF lub JPEG), bądź wskazanie miejsca jego pobrania.</w:t>
            </w:r>
          </w:p>
        </w:tc>
      </w:tr>
      <w:tr w:rsidR="00F453CF" w:rsidRPr="009D3CAA" w14:paraId="1FF1AA29" w14:textId="77777777" w:rsidTr="007A3825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4265A679" w14:textId="439A0BDF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.</w:t>
            </w:r>
          </w:p>
        </w:tc>
        <w:tc>
          <w:tcPr>
            <w:tcW w:w="480" w:type="pct"/>
            <w:noWrap/>
            <w:vAlign w:val="center"/>
          </w:tcPr>
          <w:p w14:paraId="50B03FDE" w14:textId="158C6227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07.09.2025 r.</w:t>
            </w:r>
          </w:p>
        </w:tc>
        <w:tc>
          <w:tcPr>
            <w:tcW w:w="1221" w:type="pct"/>
            <w:noWrap/>
            <w:vAlign w:val="center"/>
          </w:tcPr>
          <w:p w14:paraId="459E3B26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ENEA Operator Sp. z o.o.</w:t>
            </w:r>
          </w:p>
          <w:p w14:paraId="624FF77F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dr. E. Warmińskiego 8, </w:t>
            </w:r>
          </w:p>
          <w:p w14:paraId="148F09F5" w14:textId="30D6A30C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85-054 Bydgoszcz</w:t>
            </w:r>
          </w:p>
        </w:tc>
        <w:tc>
          <w:tcPr>
            <w:tcW w:w="707" w:type="pct"/>
            <w:noWrap/>
            <w:vAlign w:val="center"/>
          </w:tcPr>
          <w:p w14:paraId="4E7DBB78" w14:textId="3539CA05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488DBEAA" w14:textId="0507E04F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00D851F5" w14:textId="1A34FCE9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</w:tcPr>
          <w:p w14:paraId="05CCE173" w14:textId="6E1A5A7F" w:rsidR="00F453CF" w:rsidRPr="00F453CF" w:rsidRDefault="00F453CF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 xml:space="preserve">W odpowiedzi na Państwa pismo z dnia 14.08.2024 r. dot. Uchwały nr X/94/2024 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oraz Uchwały nr XIX/180/2025 Rady Miejskiej Trzemeszna (data wpływu 21.08.2025 r.) w sprawie, projektu miejscowego planu zagospodarowania przestrzennego w załączeniu przesyłamy wniosek.</w:t>
            </w:r>
          </w:p>
        </w:tc>
      </w:tr>
      <w:tr w:rsidR="00F453CF" w:rsidRPr="009D3CAA" w14:paraId="5B5C9CD2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5971C710" w14:textId="5CF4CA8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8.</w:t>
            </w:r>
          </w:p>
        </w:tc>
        <w:tc>
          <w:tcPr>
            <w:tcW w:w="480" w:type="pct"/>
            <w:noWrap/>
            <w:vAlign w:val="center"/>
          </w:tcPr>
          <w:p w14:paraId="7CEE9D61" w14:textId="5AFEBBE3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08.09.2025 r.</w:t>
            </w:r>
          </w:p>
        </w:tc>
        <w:tc>
          <w:tcPr>
            <w:tcW w:w="1221" w:type="pct"/>
            <w:noWrap/>
            <w:vAlign w:val="center"/>
          </w:tcPr>
          <w:p w14:paraId="378BCDDA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Centralne Wojskowe Centrum Rekrutacji </w:t>
            </w:r>
          </w:p>
          <w:p w14:paraId="6706131F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Ośrodek Zamiejscowy w Poznaniu </w:t>
            </w:r>
          </w:p>
          <w:p w14:paraId="4D78B0DB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Solna 21, </w:t>
            </w:r>
          </w:p>
          <w:p w14:paraId="69189A02" w14:textId="2C2BFD05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61-714 Poznań </w:t>
            </w:r>
          </w:p>
        </w:tc>
        <w:tc>
          <w:tcPr>
            <w:tcW w:w="707" w:type="pct"/>
            <w:noWrap/>
            <w:vAlign w:val="center"/>
          </w:tcPr>
          <w:p w14:paraId="6FD91DA8" w14:textId="65242E10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7753BB8D" w14:textId="38080C0E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24F046F" w14:textId="27C352AC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C6A0C0A" w14:textId="13A45CA7" w:rsidR="00F453CF" w:rsidRDefault="000505FD" w:rsidP="000505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Brak wniosków i uwag.</w:t>
            </w:r>
          </w:p>
        </w:tc>
      </w:tr>
      <w:tr w:rsidR="00F453CF" w:rsidRPr="009D3CAA" w14:paraId="63BB797C" w14:textId="77777777" w:rsidTr="0094336D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164787C4" w14:textId="74336D74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480" w:type="pct"/>
            <w:noWrap/>
            <w:vAlign w:val="center"/>
          </w:tcPr>
          <w:p w14:paraId="513032A8" w14:textId="21174267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03.09.2025 r.</w:t>
            </w:r>
          </w:p>
        </w:tc>
        <w:tc>
          <w:tcPr>
            <w:tcW w:w="1221" w:type="pct"/>
            <w:noWrap/>
            <w:vAlign w:val="center"/>
          </w:tcPr>
          <w:p w14:paraId="399989D1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Urząd Marszałkowski Województwa Wielkopolskiego w Poznaniu </w:t>
            </w:r>
          </w:p>
          <w:p w14:paraId="4B8D0A9D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Al. Niepodległości 34, </w:t>
            </w:r>
          </w:p>
          <w:p w14:paraId="411449AC" w14:textId="5668A1C3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61-714 Poznań </w:t>
            </w:r>
          </w:p>
        </w:tc>
        <w:tc>
          <w:tcPr>
            <w:tcW w:w="707" w:type="pct"/>
            <w:noWrap/>
            <w:vAlign w:val="center"/>
          </w:tcPr>
          <w:p w14:paraId="425B21E0" w14:textId="6C8C1F89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3D2F78C6" w14:textId="56A2C4E7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1391B12" w14:textId="3D68C5AF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</w:tcPr>
          <w:p w14:paraId="66D064E4" w14:textId="1E5AC76C" w:rsidR="00F453CF" w:rsidRDefault="00F453CF" w:rsidP="00F453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Informacje wynikające z ustaleń obowiązującego Planu zagospodarowania przestrzennego województwa wielkopolskiego wraz z Planem zagospodarowania przestrzennego miejskiego obszaru funkcjonalnego Poznania, zatwierdzonego Uchwałą nr V/70/19 Sejmiku Województwa Wielkopolskiego z dnia 25 marca 2019 r. (Dz. Urz. Woj. Wlkp. z 2019 r., poz. 4021) dla terenu objętego powyższym przystąpieniem zawarte są w piśmie nr D1-IV.7634.1349.2025 stanowiącym załącznik nr 1 do niniejszego wniosku.</w:t>
            </w:r>
          </w:p>
        </w:tc>
      </w:tr>
      <w:tr w:rsidR="00F453CF" w:rsidRPr="009D3CAA" w14:paraId="68D18A2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4EC9F2CB" w14:textId="1B6BB39B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480" w:type="pct"/>
            <w:noWrap/>
            <w:vAlign w:val="center"/>
          </w:tcPr>
          <w:p w14:paraId="34742DCA" w14:textId="78A0A171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29.08.2025 r.</w:t>
            </w:r>
          </w:p>
        </w:tc>
        <w:tc>
          <w:tcPr>
            <w:tcW w:w="1221" w:type="pct"/>
            <w:noWrap/>
            <w:vAlign w:val="center"/>
          </w:tcPr>
          <w:p w14:paraId="6159BBCB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Polskie Sieci Elektroenergetyczne S.A.</w:t>
            </w:r>
          </w:p>
          <w:p w14:paraId="514BE76C" w14:textId="1A19EFD2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Marcelińska 71, </w:t>
            </w:r>
          </w:p>
          <w:p w14:paraId="680D6244" w14:textId="79EB0B23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60-354 Poznań</w:t>
            </w:r>
          </w:p>
        </w:tc>
        <w:tc>
          <w:tcPr>
            <w:tcW w:w="707" w:type="pct"/>
            <w:noWrap/>
            <w:vAlign w:val="center"/>
          </w:tcPr>
          <w:p w14:paraId="647FBA45" w14:textId="4242DFD5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1319D4AB" w14:textId="1A91B976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6100514D" w14:textId="6384977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43BE51E" w14:textId="5CFF842D" w:rsidR="00F453CF" w:rsidRPr="000505FD" w:rsidRDefault="000505FD" w:rsidP="000505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Nawiązując do pisma z dnia 14.08.2025 r. (data wpływu: 22.08.2025 r.), o znaku: Rl.6722.16.2024, </w:t>
            </w:r>
            <w:proofErr w:type="spellStart"/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ws</w:t>
            </w:r>
            <w:proofErr w:type="spellEnd"/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. przystąpienia do sporządzenia zmiany miejscowego planu zagospodarowania przestrzennego terenu części wsi Gołąbki, gmina Trzemeszno - informujemy, że na terenie wskazanym w załącznikach graficznych do ww. pisma nie ma obiektów elektroenergetycznych (stacji i linii o napięciu 400 kV i 220 kV) krajowej sieci przesyłowej.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Nie składamy wniosków do projektu zmiany miejscowego planu zagospodarowania przestrzennego.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Jednocześnie zastrzegamy, że za opiniowanie obiektów o napięciu 110 kV i niższym odpowiedzialna jest lokalna spółka dystrybucyjna.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Właścicielem obiektów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elektroenergetycznych Krajowego Systemu Przesyłowego są Polskie Sieci Elektroenergetyczne S.A., działające zgodnie z ustawą Prawo energetyczne (Dz.U. z 1997 Nr 54, poz. 348 z późn. zm.), które wykonują zadania Operatora Systemu Przesyłowego</w:t>
            </w:r>
          </w:p>
        </w:tc>
      </w:tr>
      <w:tr w:rsidR="00F453CF" w:rsidRPr="009D3CAA" w14:paraId="097A2FF4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22D84146" w14:textId="32D0EC0A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11.</w:t>
            </w:r>
          </w:p>
        </w:tc>
        <w:tc>
          <w:tcPr>
            <w:tcW w:w="480" w:type="pct"/>
            <w:noWrap/>
            <w:vAlign w:val="center"/>
          </w:tcPr>
          <w:p w14:paraId="5D4CD3C0" w14:textId="2F6C006A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01.09.2025 r.</w:t>
            </w:r>
          </w:p>
        </w:tc>
        <w:tc>
          <w:tcPr>
            <w:tcW w:w="1221" w:type="pct"/>
            <w:noWrap/>
            <w:vAlign w:val="center"/>
          </w:tcPr>
          <w:p w14:paraId="0D4D7220" w14:textId="101CB5FE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Polska Spółka Gazownictwa Sp. z o.o. </w:t>
            </w:r>
          </w:p>
          <w:p w14:paraId="2AF532B0" w14:textId="4A11DAC9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Oddział Zakład Gazowniczy w Poznaniu </w:t>
            </w:r>
          </w:p>
          <w:p w14:paraId="1B023B31" w14:textId="2B5C8254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Za Groblą 8, </w:t>
            </w:r>
          </w:p>
          <w:p w14:paraId="676444DD" w14:textId="1551865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61-860 Poznań</w:t>
            </w:r>
          </w:p>
        </w:tc>
        <w:tc>
          <w:tcPr>
            <w:tcW w:w="707" w:type="pct"/>
            <w:noWrap/>
            <w:vAlign w:val="center"/>
          </w:tcPr>
          <w:p w14:paraId="0CB2C381" w14:textId="057A9270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4102F0F3" w14:textId="4A5085CA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28E25FE3" w14:textId="0E296B94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0F85577E" w14:textId="0FCD9806" w:rsidR="00F453CF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 odpowiedzi na pismo o znakach jw. dot. zawiadomienia w sprawie przystąpienia do sporządzenia miejscowego planu zagospodarowania przestrzennego terenu części wsi Gołąbki (działki o nr geod, 21/2 oraz 72/2 i 72/1-po zmianie) gm. Trzemeszno, uprzejmie informujemy, że Polska Spółka Gazownictwa Oddział Zakład Gazowniczy w Poznaniu nie świadczy usługi dystrybucji gazu na przedmiotowym terenie. Jednocześnie wnioskujemy o dodanie nw. zapisów do planu: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Zaopatrzenie w gaz przewiduje się z sieci gazowej.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Dopuszcza się przebudowę, rozbudowę, remont i likwidację istniejących oraz budowę nowych sieci gazowych.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Ustala się minimalne średnice sieci gazowej: 25 [mm],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Zachowuje się ograniczenia wynikające z przebiegu sieci gazowej, zgodnie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 przepisami odrębnymi.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Zgodnie z przepisami wynikającymi z Rozporządzenia Ministra Gospodarki z dnia 26 kwietnia 2013 r. w sprawie warunków technicznych, jakim powinny odpowiadać sieci gazowe i ich usytuowanie (Dz.U. 2013 poz. 640) oraz norma PN-91/M-34501 ustala się strefy kontrolowane dla istniejących lub nowych sieci gazowych. W strefach kontrolowanych nie należy wznosić budynków, urządzać stałych składów i magazynów, sadzić drzew i krzewów oraz podejmować działalności mogącej zagrozić trwałości gazociągu podczas jego eksploatacji. Ponadto przy scalaniu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lub podziale nieruchomości gruntowych lub działek objętych planem należy przewidzieć dostępność do infrastruktury technicznej.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 strefie kontrolowanej istniejących gazociągów dopuszcza się budowę nowych sieci gazowych.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Jednocześnie informujemy, że zaopatrzenie w gaz ziemny może być realizowane poprzez budowę dystrybucyjnej sieci gazowej pod warunkiem spełnienia warunków</w:t>
            </w:r>
          </w:p>
        </w:tc>
      </w:tr>
      <w:tr w:rsidR="00F453CF" w:rsidRPr="009D3CAA" w14:paraId="2BE0EEFC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511BC8CE" w14:textId="12E4F1A1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lastRenderedPageBreak/>
              <w:t>12.</w:t>
            </w:r>
          </w:p>
        </w:tc>
        <w:tc>
          <w:tcPr>
            <w:tcW w:w="480" w:type="pct"/>
            <w:noWrap/>
            <w:vAlign w:val="center"/>
          </w:tcPr>
          <w:p w14:paraId="31F37309" w14:textId="36295076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27.08.2025 r.</w:t>
            </w:r>
          </w:p>
        </w:tc>
        <w:tc>
          <w:tcPr>
            <w:tcW w:w="1221" w:type="pct"/>
            <w:noWrap/>
            <w:vAlign w:val="center"/>
          </w:tcPr>
          <w:p w14:paraId="37E6253E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Powiatowy Zarząd Dróg </w:t>
            </w:r>
          </w:p>
          <w:p w14:paraId="4C68C964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Al. Reymonta 32, </w:t>
            </w:r>
          </w:p>
          <w:p w14:paraId="6390DED5" w14:textId="50E732AA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62-200 Gniezno </w:t>
            </w:r>
          </w:p>
        </w:tc>
        <w:tc>
          <w:tcPr>
            <w:tcW w:w="707" w:type="pct"/>
            <w:noWrap/>
            <w:vAlign w:val="center"/>
          </w:tcPr>
          <w:p w14:paraId="47C184EB" w14:textId="7004475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661508A8" w14:textId="6F32E76B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4FF9F457" w14:textId="0EE4E0E5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68F84212" w14:textId="77777777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Uzgadniam Uchwalę dla sprawy nr RI.6722.16.2024 dotyczącą zmiany Uchwały z dnia 30.10.2024r., zmiana zakresu załącznika graficznego, w sprawie przystąpienia do sporządzenia miejscowego planu zagospodarowania przestrzennego części wsi Gołąbki, obejmującego działki nr geod. 21/2, 72/2, 72/1 w zakresie drogi powiatowej nr 2236P, gm. Trzemeszno, z następującymi warunkami:</w:t>
            </w:r>
          </w:p>
          <w:p w14:paraId="170BA51A" w14:textId="77777777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dojazdy do działek powstałych po dokonanych podziałach należy zapewnić wyłącznie z dróg wewnętrznych połączonych z drogą powiatową,</w:t>
            </w:r>
          </w:p>
          <w:p w14:paraId="34C993E3" w14:textId="77777777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na włączenie dróg wewnętrznych do dróg powiatowych należy opracować projekt organizacji ruchu,</w:t>
            </w:r>
          </w:p>
          <w:p w14:paraId="343B4335" w14:textId="00735C6F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 przypadku, gdy media znajdują się po przeciwnej stronie drogi publicznej, zobowiązać przed sprzedażą działek właściciela nieruchomości, której dotyczy podział o wystąpienie do właściwych zakładów (energetyka, wodociągi, gazownia, telekomunikacja)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zaplanowanie jednego miejsca przecisku (przewiertu) o średnicy wystarczającej dla wszystkich uzyskanych z podziału działek,</w:t>
            </w:r>
          </w:p>
          <w:p w14:paraId="608E16A1" w14:textId="7B382CE4" w:rsidR="000505FD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obiekty budowlane przy drogach powiatowych powinny być usytuowane w odległości od zewnętrznej krawędzi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jezdni co najmniej 8,0 m w terenie zabudowy lub 20,0 m poza terenem zabudowy, zgodnie z art. 43 ustawy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drogach publicznych (t. j. Dz. U. z 2025i\, poz. 889).</w:t>
            </w:r>
          </w:p>
          <w:p w14:paraId="431F893E" w14:textId="4ABD2F70" w:rsidR="00F453CF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budowa lub przebudowa zjazdu należy do właściciela lub użytkownika nieruchomości przyległych do drogi, po uzyskaniu w drodze decyzji administracyjnej zezwolenia zarządcy drogi na przebudowę zjazdu zgodnie z art. 29 ustawy o drogach publicznych (t. j. Dz. U. z 2025i\, poz. 889).</w:t>
            </w:r>
          </w:p>
        </w:tc>
      </w:tr>
      <w:tr w:rsidR="00F453CF" w:rsidRPr="009D3CAA" w14:paraId="613FA87F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7CDDC6B7" w14:textId="20D335DC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13.</w:t>
            </w:r>
          </w:p>
        </w:tc>
        <w:tc>
          <w:tcPr>
            <w:tcW w:w="480" w:type="pct"/>
            <w:noWrap/>
            <w:vAlign w:val="center"/>
          </w:tcPr>
          <w:p w14:paraId="631D664B" w14:textId="2B66ECFC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26.08.2025 r.</w:t>
            </w:r>
          </w:p>
        </w:tc>
        <w:tc>
          <w:tcPr>
            <w:tcW w:w="1221" w:type="pct"/>
            <w:noWrap/>
            <w:vAlign w:val="center"/>
          </w:tcPr>
          <w:p w14:paraId="51F7A0F9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Państwowe Gospodarstwo Wodne </w:t>
            </w:r>
          </w:p>
          <w:p w14:paraId="2D0C5EBD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Wody Polskie </w:t>
            </w:r>
          </w:p>
          <w:p w14:paraId="67540A3E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Regionalny Zarząd Gospodarki Wodnej w Bydgoszczy </w:t>
            </w:r>
          </w:p>
          <w:p w14:paraId="2D9D2A8E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Al. A. Mickiewicza 15, </w:t>
            </w:r>
          </w:p>
          <w:p w14:paraId="79EA4959" w14:textId="6D78951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85-071 Bydgoszcz </w:t>
            </w:r>
          </w:p>
        </w:tc>
        <w:tc>
          <w:tcPr>
            <w:tcW w:w="707" w:type="pct"/>
            <w:noWrap/>
            <w:vAlign w:val="center"/>
          </w:tcPr>
          <w:p w14:paraId="2C0CD012" w14:textId="4A5B63A2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02971C62" w14:textId="2F0A0E7A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7A2886E8" w14:textId="2FDA22E2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7FCC7208" w14:textId="2254A99F" w:rsidR="00F453CF" w:rsidRPr="000505FD" w:rsidRDefault="000505FD" w:rsidP="000505FD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Dyrektor Regionalnego Zarządu Gospodarki Wodnej Wód Polskich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Bydgoszczy, działając zgodnie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właściwością miejscową przekazuje otrzymane zawiadomienie Burmistrza Trzemeszna znak: Rl.6722.16.2024 z dnia 14 sierpnia 2025 r. (data wpływu: 22.08.2025 r.; RPW/12861/2025) 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podjęciu przez Radę Miejską Trzemeszna uchwały Nr XIX/180/2025 z dnia 28 maja 2025 r., w przedmiocie zmiany zakresu załącznika graficznego nr 1 do uchwały Nr X/94/2024 z dnia 30 października 2024 r. w sprawie przystąpienia do sporządzenia miejscowego planu zagospodarowania przestrzennego terenu części wsi Gołąbki (działki nr geod. 21/2 oraz 72/2 i 72/1 - po zmianie).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Wszystkie wskazane w zawiadomieniu tereny znajdują się w całości w regionie wodnym Warty. Na podstawie § 17 pkt 7 Statutu Państwowego Gospodarstwa Wodnego Wody Polskie stanowiącego załącznik do rozporządzenia Ministra Środowiska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 xml:space="preserve">dnia 28 grudnia 2017 r. w sprawie nadania statutu Państwowemu Gospodarstwu Wodnemu Wody Polskie (Dz. U. z 2017 r. poz. 2506), region ten stanowi obszar działania Regionalnego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Zarządu Gospodarki Wodnej Wód Polskich w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Poznaniu. W związku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powyższym przedmiotowe zawiadomienie należy przekazać jego Dyrektorowi.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Wyłącznym obszarem działania Regionalnego Zarządu Gospodarki Wodnej Wód Polskich w Bydgoszczy, zgodnie z § 17 pkt 2 Statutu Państwowego Gospodarstwa Wodnego Wody Polskie, jest region wodny Noteci, nie pokrywający się 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r w:rsidRPr="000505FD">
              <w:rPr>
                <w:rFonts w:ascii="Times New Roman" w:hAnsi="Times New Roman" w:cs="Times New Roman"/>
                <w:sz w:val="16"/>
                <w:szCs w:val="16"/>
              </w:rPr>
              <w:t>podziałem administracyjnym Polski.</w:t>
            </w:r>
          </w:p>
        </w:tc>
      </w:tr>
      <w:tr w:rsidR="00F453CF" w:rsidRPr="009D3CAA" w14:paraId="62F1DB58" w14:textId="77777777" w:rsidTr="00E644DC">
        <w:trPr>
          <w:trHeight w:val="21"/>
          <w:jc w:val="center"/>
        </w:trPr>
        <w:tc>
          <w:tcPr>
            <w:tcW w:w="255" w:type="pct"/>
            <w:noWrap/>
            <w:vAlign w:val="center"/>
          </w:tcPr>
          <w:p w14:paraId="1BDCBFA1" w14:textId="016B31AA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14.</w:t>
            </w:r>
          </w:p>
        </w:tc>
        <w:tc>
          <w:tcPr>
            <w:tcW w:w="480" w:type="pct"/>
            <w:noWrap/>
            <w:vAlign w:val="center"/>
          </w:tcPr>
          <w:p w14:paraId="7EB041C0" w14:textId="159F1B3B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26.08.2025 r.</w:t>
            </w:r>
          </w:p>
        </w:tc>
        <w:tc>
          <w:tcPr>
            <w:tcW w:w="1221" w:type="pct"/>
            <w:noWrap/>
            <w:vAlign w:val="center"/>
          </w:tcPr>
          <w:p w14:paraId="2B710BCA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Operator Gazociągów Przesyłowych GAZ-SYSTEM S.A, </w:t>
            </w:r>
          </w:p>
          <w:p w14:paraId="2FE7EAA3" w14:textId="77777777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Oddział w Gdańsku </w:t>
            </w:r>
          </w:p>
          <w:p w14:paraId="0F108036" w14:textId="530B9CAB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ul. Wałowa 47, </w:t>
            </w:r>
          </w:p>
          <w:p w14:paraId="4AD760C7" w14:textId="68798F9C" w:rsidR="00F453CF" w:rsidRDefault="00F453CF" w:rsidP="00F453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80-858 Gdańsk </w:t>
            </w:r>
          </w:p>
        </w:tc>
        <w:tc>
          <w:tcPr>
            <w:tcW w:w="707" w:type="pct"/>
            <w:noWrap/>
            <w:vAlign w:val="center"/>
          </w:tcPr>
          <w:p w14:paraId="43A8A036" w14:textId="38F085C6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 xml:space="preserve">Obszar planu </w:t>
            </w:r>
          </w:p>
        </w:tc>
        <w:tc>
          <w:tcPr>
            <w:tcW w:w="597" w:type="pct"/>
            <w:noWrap/>
            <w:vAlign w:val="center"/>
          </w:tcPr>
          <w:p w14:paraId="3717235D" w14:textId="7E48C562" w:rsidR="00F453CF" w:rsidRPr="0084659B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</w:pPr>
            <w:r w:rsidRPr="0084659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X</w:t>
            </w:r>
          </w:p>
        </w:tc>
        <w:tc>
          <w:tcPr>
            <w:tcW w:w="653" w:type="pct"/>
            <w:noWrap/>
            <w:vAlign w:val="center"/>
          </w:tcPr>
          <w:p w14:paraId="0DB48845" w14:textId="48C9333E" w:rsidR="00F453CF" w:rsidRDefault="00F453CF" w:rsidP="00F453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–</w:t>
            </w:r>
          </w:p>
        </w:tc>
        <w:tc>
          <w:tcPr>
            <w:tcW w:w="1087" w:type="pct"/>
            <w:noWrap/>
            <w:vAlign w:val="center"/>
          </w:tcPr>
          <w:p w14:paraId="477E30E3" w14:textId="26882D8E" w:rsidR="00F453CF" w:rsidRPr="00F453CF" w:rsidRDefault="00F453CF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W odpowiedzi na zawiadomienie Burmistrza Trzemeszna znak RI.6722.16.2024 z dnia 10 sierpnia 2024 roku (data wpływu do OGP GAZ-SYSTEM S.A. 25.08.2025r.) w sprawie zaopiniowania projektu miejscowego planu zagospodarowania przestrzennego terenu części wsi Goł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ą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 xml:space="preserve">bki (działki nr geod. 21/2 oraz 72/2 i 72/1 - po zmianie) informujemy, że na obszarze objętym miejscowym planem nie 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występuj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ą</w:t>
            </w: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 xml:space="preserve"> obiekty systemu przesyłowego będące w eksploatacji Operatora Gazociągów Przesyłowych GAZ-SYSTEM S.A. Oddział w Gdańsku.</w:t>
            </w:r>
          </w:p>
          <w:p w14:paraId="61DC7E9B" w14:textId="6D47D718" w:rsidR="00F453CF" w:rsidRPr="00F453CF" w:rsidRDefault="00F453CF" w:rsidP="00F453CF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453CF">
              <w:rPr>
                <w:rFonts w:ascii="Times New Roman" w:hAnsi="Times New Roman" w:cs="Times New Roman"/>
                <w:sz w:val="16"/>
                <w:szCs w:val="16"/>
              </w:rPr>
              <w:t>W związku z powyższym, przedmiotowy projekt opiniujemy bez uwag.</w:t>
            </w:r>
          </w:p>
        </w:tc>
      </w:tr>
    </w:tbl>
    <w:p w14:paraId="2E32A2B9" w14:textId="660F9E39" w:rsidR="00C450B1" w:rsidRPr="009D3CAA" w:rsidRDefault="00C450B1" w:rsidP="00C450B1">
      <w:pPr>
        <w:spacing w:before="240" w:after="0"/>
        <w:jc w:val="both"/>
        <w:rPr>
          <w:rFonts w:ascii="Times New Roman" w:hAnsi="Times New Roman" w:cs="Times New Roman"/>
        </w:rPr>
      </w:pPr>
      <w:r w:rsidRPr="009D3CAA">
        <w:rPr>
          <w:rFonts w:ascii="Times New Roman" w:hAnsi="Times New Roman" w:cs="Times New Roman"/>
        </w:rPr>
        <w:t>Załączniki</w:t>
      </w:r>
      <w:r w:rsidR="00B26566">
        <w:rPr>
          <w:rFonts w:ascii="Times New Roman" w:hAnsi="Times New Roman" w:cs="Times New Roman"/>
        </w:rPr>
        <w:t>:</w:t>
      </w:r>
    </w:p>
    <w:p w14:paraId="044F7328" w14:textId="303D5975" w:rsidR="00C450B1" w:rsidRPr="009D3CAA" w:rsidRDefault="00C450B1" w:rsidP="001A274E">
      <w:pPr>
        <w:spacing w:after="0"/>
        <w:ind w:firstLine="142"/>
        <w:jc w:val="both"/>
        <w:rPr>
          <w:rFonts w:ascii="Times New Roman" w:hAnsi="Times New Roman" w:cs="Times New Roman"/>
        </w:rPr>
      </w:pPr>
      <w:r w:rsidRPr="009D3CAA">
        <w:rPr>
          <w:rFonts w:ascii="Times New Roman" w:hAnsi="Times New Roman" w:cs="Times New Roman"/>
        </w:rPr>
        <w:t xml:space="preserve">– wnioski wymienione w wykazie </w:t>
      </w:r>
    </w:p>
    <w:p w14:paraId="77017003" w14:textId="77777777" w:rsidR="00C450B1" w:rsidRPr="009D3CAA" w:rsidRDefault="00C450B1" w:rsidP="00C450B1">
      <w:pPr>
        <w:spacing w:after="0"/>
        <w:ind w:firstLine="425"/>
        <w:jc w:val="both"/>
        <w:rPr>
          <w:rFonts w:ascii="Times New Roman" w:hAnsi="Times New Roman" w:cs="Times New Roman"/>
        </w:rPr>
      </w:pPr>
    </w:p>
    <w:p w14:paraId="0D3322EC" w14:textId="77777777" w:rsidR="00C450B1" w:rsidRPr="009D3CAA" w:rsidRDefault="00C450B1" w:rsidP="00D25021">
      <w:pPr>
        <w:spacing w:after="0"/>
        <w:ind w:right="536" w:firstLine="425"/>
        <w:jc w:val="right"/>
        <w:rPr>
          <w:rFonts w:ascii="Times New Roman" w:hAnsi="Times New Roman" w:cs="Times New Roman"/>
        </w:rPr>
      </w:pPr>
      <w:r w:rsidRPr="009D3CAA">
        <w:rPr>
          <w:rFonts w:ascii="Times New Roman" w:hAnsi="Times New Roman" w:cs="Times New Roman"/>
        </w:rPr>
        <w:t>………………………………………………………</w:t>
      </w:r>
    </w:p>
    <w:p w14:paraId="6FE6DBD3" w14:textId="3C9D9E18" w:rsidR="00581612" w:rsidRPr="001A274E" w:rsidRDefault="00C450B1" w:rsidP="001A274E">
      <w:pPr>
        <w:spacing w:after="0"/>
        <w:ind w:right="536" w:firstLine="8789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9D3CAA">
        <w:rPr>
          <w:rFonts w:ascii="Times New Roman" w:hAnsi="Times New Roman" w:cs="Times New Roman"/>
          <w:i/>
          <w:iCs/>
          <w:sz w:val="20"/>
          <w:szCs w:val="20"/>
        </w:rPr>
        <w:t xml:space="preserve">(podpis Burmistrza </w:t>
      </w:r>
      <w:r w:rsidR="001A274E">
        <w:rPr>
          <w:rFonts w:ascii="Times New Roman" w:hAnsi="Times New Roman" w:cs="Times New Roman"/>
          <w:i/>
          <w:iCs/>
          <w:sz w:val="20"/>
          <w:szCs w:val="20"/>
        </w:rPr>
        <w:t xml:space="preserve">Trzemeszna </w:t>
      </w:r>
      <w:r w:rsidRPr="009D3CAA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sectPr w:rsidR="00581612" w:rsidRPr="001A274E" w:rsidSect="00143A86">
      <w:pgSz w:w="16838" w:h="11906" w:orient="landscape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0CFD" w14:textId="77777777" w:rsidR="0043600F" w:rsidRDefault="0043600F" w:rsidP="00143A86">
      <w:pPr>
        <w:spacing w:after="0" w:line="240" w:lineRule="auto"/>
      </w:pPr>
      <w:r>
        <w:separator/>
      </w:r>
    </w:p>
  </w:endnote>
  <w:endnote w:type="continuationSeparator" w:id="0">
    <w:p w14:paraId="624B292A" w14:textId="77777777" w:rsidR="0043600F" w:rsidRDefault="0043600F" w:rsidP="0014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FCBEC" w14:textId="77777777" w:rsidR="0043600F" w:rsidRDefault="0043600F" w:rsidP="00143A86">
      <w:pPr>
        <w:spacing w:after="0" w:line="240" w:lineRule="auto"/>
      </w:pPr>
      <w:r>
        <w:separator/>
      </w:r>
    </w:p>
  </w:footnote>
  <w:footnote w:type="continuationSeparator" w:id="0">
    <w:p w14:paraId="06DEF1A5" w14:textId="77777777" w:rsidR="0043600F" w:rsidRDefault="0043600F" w:rsidP="0014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02AE"/>
    <w:multiLevelType w:val="multilevel"/>
    <w:tmpl w:val="1A9C1196"/>
    <w:lvl w:ilvl="0">
      <w:start w:val="4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441ED8"/>
    <w:multiLevelType w:val="multilevel"/>
    <w:tmpl w:val="D34A549A"/>
    <w:lvl w:ilvl="0">
      <w:start w:val="1"/>
      <w:numFmt w:val="lowerLetter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pl"/>
      </w:rPr>
    </w:lvl>
    <w:lvl w:ilvl="2">
      <w:start w:val="1"/>
      <w:numFmt w:val="decimal"/>
      <w:lvlText w:val="%3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start w:val="1"/>
      <w:numFmt w:val="decimal"/>
      <w:lvlText w:val="%7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7">
      <w:start w:val="1"/>
      <w:numFmt w:val="lowerLetter"/>
      <w:lvlText w:val="%8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</w:abstractNum>
  <w:abstractNum w:abstractNumId="2" w15:restartNumberingAfterBreak="0">
    <w:nsid w:val="13AA0723"/>
    <w:multiLevelType w:val="multilevel"/>
    <w:tmpl w:val="1916AF0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pl"/>
      </w:rPr>
    </w:lvl>
    <w:lvl w:ilvl="2">
      <w:start w:val="1"/>
      <w:numFmt w:val="decimal"/>
      <w:lvlText w:val="%3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start w:val="1"/>
      <w:numFmt w:val="decimal"/>
      <w:lvlText w:val="%7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7">
      <w:start w:val="1"/>
      <w:numFmt w:val="lowerLetter"/>
      <w:lvlText w:val="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</w:abstractNum>
  <w:abstractNum w:abstractNumId="3" w15:restartNumberingAfterBreak="0">
    <w:nsid w:val="162A0B34"/>
    <w:multiLevelType w:val="multilevel"/>
    <w:tmpl w:val="EBC2238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5"/>
      <w:numFmt w:val="decimal"/>
      <w:lvlText w:val="%2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2713EE"/>
    <w:multiLevelType w:val="multilevel"/>
    <w:tmpl w:val="B13836A2"/>
    <w:lvl w:ilvl="0">
      <w:start w:val="14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9E22764"/>
    <w:multiLevelType w:val="multilevel"/>
    <w:tmpl w:val="D8CCBE0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1B97933"/>
    <w:multiLevelType w:val="multilevel"/>
    <w:tmpl w:val="C8EED3B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pl"/>
      </w:rPr>
    </w:lvl>
    <w:lvl w:ilvl="1">
      <w:start w:val="1"/>
      <w:numFmt w:val="decimal"/>
      <w:lvlText w:val="%2.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952E7B"/>
    <w:multiLevelType w:val="multilevel"/>
    <w:tmpl w:val="D9CC0FF8"/>
    <w:lvl w:ilvl="0">
      <w:start w:val="1"/>
      <w:numFmt w:val="decimal"/>
      <w:lvlText w:val="%1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pl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97D5AF9"/>
    <w:multiLevelType w:val="multilevel"/>
    <w:tmpl w:val="7E1A2A3E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3"/>
      <w:numFmt w:val="decimal"/>
      <w:lvlText w:val="%2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3C06BE"/>
    <w:multiLevelType w:val="multilevel"/>
    <w:tmpl w:val="1916AF0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20"/>
        <w:w w:val="100"/>
        <w:position w:val="0"/>
        <w:sz w:val="15"/>
        <w:szCs w:val="15"/>
        <w:u w:val="none"/>
        <w:lang w:val="pl"/>
      </w:rPr>
    </w:lvl>
    <w:lvl w:ilvl="2">
      <w:start w:val="1"/>
      <w:numFmt w:val="decimal"/>
      <w:lvlText w:val="%3."/>
      <w:lvlJc w:val="left"/>
      <w:rPr>
        <w:rFonts w:ascii="Consolas" w:eastAsia="Consolas" w:hAnsi="Consolas" w:cs="Consola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"/>
      </w:rPr>
    </w:lvl>
    <w:lvl w:ilvl="3">
      <w:numFmt w:val="decimal"/>
      <w:lvlText w:val="%4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"/>
      <w:numFmt w:val="decimal"/>
      <w:lvlText w:val="%5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5">
      <w:start w:val="1"/>
      <w:numFmt w:val="lowerLetter"/>
      <w:lvlText w:val="%6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6">
      <w:start w:val="1"/>
      <w:numFmt w:val="decimal"/>
      <w:lvlText w:val="%7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7">
      <w:start w:val="1"/>
      <w:numFmt w:val="lowerLetter"/>
      <w:lvlText w:val="%8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8">
      <w:start w:val="1"/>
      <w:numFmt w:val="decimal"/>
      <w:lvlText w:val="%9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</w:abstractNum>
  <w:abstractNum w:abstractNumId="10" w15:restartNumberingAfterBreak="0">
    <w:nsid w:val="70D5737E"/>
    <w:multiLevelType w:val="multilevel"/>
    <w:tmpl w:val="F5F8D41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1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A527C28"/>
    <w:multiLevelType w:val="multilevel"/>
    <w:tmpl w:val="967CBC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1">
      <w:start w:val="3"/>
      <w:numFmt w:val="decimal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60466321">
    <w:abstractNumId w:val="7"/>
  </w:num>
  <w:num w:numId="2" w16cid:durableId="1891263352">
    <w:abstractNumId w:val="2"/>
  </w:num>
  <w:num w:numId="3" w16cid:durableId="1232698415">
    <w:abstractNumId w:val="9"/>
  </w:num>
  <w:num w:numId="4" w16cid:durableId="102236493">
    <w:abstractNumId w:val="1"/>
  </w:num>
  <w:num w:numId="5" w16cid:durableId="703989295">
    <w:abstractNumId w:val="6"/>
  </w:num>
  <w:num w:numId="6" w16cid:durableId="1519470803">
    <w:abstractNumId w:val="0"/>
  </w:num>
  <w:num w:numId="7" w16cid:durableId="1024019213">
    <w:abstractNumId w:val="10"/>
  </w:num>
  <w:num w:numId="8" w16cid:durableId="1834299885">
    <w:abstractNumId w:val="11"/>
  </w:num>
  <w:num w:numId="9" w16cid:durableId="1948996918">
    <w:abstractNumId w:val="3"/>
  </w:num>
  <w:num w:numId="10" w16cid:durableId="989401984">
    <w:abstractNumId w:val="8"/>
  </w:num>
  <w:num w:numId="11" w16cid:durableId="698745120">
    <w:abstractNumId w:val="4"/>
  </w:num>
  <w:num w:numId="12" w16cid:durableId="19816129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612"/>
    <w:rsid w:val="00013A0B"/>
    <w:rsid w:val="0004345D"/>
    <w:rsid w:val="000505FD"/>
    <w:rsid w:val="0006463D"/>
    <w:rsid w:val="00072A4E"/>
    <w:rsid w:val="00076587"/>
    <w:rsid w:val="00076A23"/>
    <w:rsid w:val="0008167C"/>
    <w:rsid w:val="00097FB5"/>
    <w:rsid w:val="000A63C2"/>
    <w:rsid w:val="000C149A"/>
    <w:rsid w:val="000D09B3"/>
    <w:rsid w:val="001143F1"/>
    <w:rsid w:val="00123338"/>
    <w:rsid w:val="00125A7F"/>
    <w:rsid w:val="00143A86"/>
    <w:rsid w:val="0015121A"/>
    <w:rsid w:val="00181875"/>
    <w:rsid w:val="001903C7"/>
    <w:rsid w:val="001A0B82"/>
    <w:rsid w:val="001A22C5"/>
    <w:rsid w:val="001A274E"/>
    <w:rsid w:val="001A7361"/>
    <w:rsid w:val="001B1D7F"/>
    <w:rsid w:val="001B2989"/>
    <w:rsid w:val="001B2F3D"/>
    <w:rsid w:val="001B4145"/>
    <w:rsid w:val="001B6FC1"/>
    <w:rsid w:val="001C0F73"/>
    <w:rsid w:val="001C7F74"/>
    <w:rsid w:val="001D4E35"/>
    <w:rsid w:val="001E16A4"/>
    <w:rsid w:val="001E6F3E"/>
    <w:rsid w:val="0021051C"/>
    <w:rsid w:val="00223ED4"/>
    <w:rsid w:val="002250BA"/>
    <w:rsid w:val="00227306"/>
    <w:rsid w:val="002316DA"/>
    <w:rsid w:val="002371B0"/>
    <w:rsid w:val="002402B4"/>
    <w:rsid w:val="002425F2"/>
    <w:rsid w:val="0026341F"/>
    <w:rsid w:val="002771B3"/>
    <w:rsid w:val="00292077"/>
    <w:rsid w:val="002A72AC"/>
    <w:rsid w:val="002B4EFE"/>
    <w:rsid w:val="002B6382"/>
    <w:rsid w:val="002E48EE"/>
    <w:rsid w:val="002F00EE"/>
    <w:rsid w:val="00301E13"/>
    <w:rsid w:val="00301F0F"/>
    <w:rsid w:val="00304240"/>
    <w:rsid w:val="00316F01"/>
    <w:rsid w:val="003247B9"/>
    <w:rsid w:val="00327153"/>
    <w:rsid w:val="00340891"/>
    <w:rsid w:val="003417FD"/>
    <w:rsid w:val="00343CF0"/>
    <w:rsid w:val="0034484E"/>
    <w:rsid w:val="00360425"/>
    <w:rsid w:val="00370B61"/>
    <w:rsid w:val="00371E17"/>
    <w:rsid w:val="00380606"/>
    <w:rsid w:val="00390DCC"/>
    <w:rsid w:val="003B216E"/>
    <w:rsid w:val="003C38C0"/>
    <w:rsid w:val="003C5855"/>
    <w:rsid w:val="003C6E89"/>
    <w:rsid w:val="003F4969"/>
    <w:rsid w:val="003F6FA3"/>
    <w:rsid w:val="00404DB1"/>
    <w:rsid w:val="00426015"/>
    <w:rsid w:val="004327B5"/>
    <w:rsid w:val="0043600F"/>
    <w:rsid w:val="00443426"/>
    <w:rsid w:val="00477E88"/>
    <w:rsid w:val="00494F08"/>
    <w:rsid w:val="00496E4E"/>
    <w:rsid w:val="004A3B0D"/>
    <w:rsid w:val="004B526E"/>
    <w:rsid w:val="004C5432"/>
    <w:rsid w:val="004D47AF"/>
    <w:rsid w:val="004D49FA"/>
    <w:rsid w:val="004D5F9E"/>
    <w:rsid w:val="004D7674"/>
    <w:rsid w:val="004E2415"/>
    <w:rsid w:val="004E37AF"/>
    <w:rsid w:val="004E3908"/>
    <w:rsid w:val="004F0A49"/>
    <w:rsid w:val="004F3426"/>
    <w:rsid w:val="005045FF"/>
    <w:rsid w:val="00504D27"/>
    <w:rsid w:val="005249A3"/>
    <w:rsid w:val="00545E7D"/>
    <w:rsid w:val="00547394"/>
    <w:rsid w:val="00560701"/>
    <w:rsid w:val="0056585A"/>
    <w:rsid w:val="00572EB0"/>
    <w:rsid w:val="00581055"/>
    <w:rsid w:val="00581612"/>
    <w:rsid w:val="005A2E29"/>
    <w:rsid w:val="005A637D"/>
    <w:rsid w:val="005B2BDF"/>
    <w:rsid w:val="005B3148"/>
    <w:rsid w:val="005D016A"/>
    <w:rsid w:val="005D141E"/>
    <w:rsid w:val="005D2A6B"/>
    <w:rsid w:val="005E1867"/>
    <w:rsid w:val="005E7F96"/>
    <w:rsid w:val="005F4044"/>
    <w:rsid w:val="00612AE2"/>
    <w:rsid w:val="00613294"/>
    <w:rsid w:val="00616853"/>
    <w:rsid w:val="0063533C"/>
    <w:rsid w:val="0063599B"/>
    <w:rsid w:val="006407C4"/>
    <w:rsid w:val="00645498"/>
    <w:rsid w:val="00670334"/>
    <w:rsid w:val="00695313"/>
    <w:rsid w:val="00695534"/>
    <w:rsid w:val="006A148D"/>
    <w:rsid w:val="006B7AF5"/>
    <w:rsid w:val="006D0912"/>
    <w:rsid w:val="006E1373"/>
    <w:rsid w:val="006F22A1"/>
    <w:rsid w:val="006F39AE"/>
    <w:rsid w:val="00706566"/>
    <w:rsid w:val="00707FC0"/>
    <w:rsid w:val="00726852"/>
    <w:rsid w:val="00745A16"/>
    <w:rsid w:val="0076098A"/>
    <w:rsid w:val="00791CB2"/>
    <w:rsid w:val="007A2F28"/>
    <w:rsid w:val="007C22CD"/>
    <w:rsid w:val="007C6201"/>
    <w:rsid w:val="007E009C"/>
    <w:rsid w:val="007E3007"/>
    <w:rsid w:val="007F6083"/>
    <w:rsid w:val="0080235A"/>
    <w:rsid w:val="00827ACA"/>
    <w:rsid w:val="008339F9"/>
    <w:rsid w:val="0084659B"/>
    <w:rsid w:val="00846B51"/>
    <w:rsid w:val="008807AC"/>
    <w:rsid w:val="008C0906"/>
    <w:rsid w:val="008C28A1"/>
    <w:rsid w:val="008D32CB"/>
    <w:rsid w:val="008D76C3"/>
    <w:rsid w:val="008E1B87"/>
    <w:rsid w:val="008E6AD0"/>
    <w:rsid w:val="00900D75"/>
    <w:rsid w:val="00914E18"/>
    <w:rsid w:val="009154BC"/>
    <w:rsid w:val="009331DD"/>
    <w:rsid w:val="00940BC6"/>
    <w:rsid w:val="00945E82"/>
    <w:rsid w:val="00971969"/>
    <w:rsid w:val="00996B20"/>
    <w:rsid w:val="009B032B"/>
    <w:rsid w:val="009B6101"/>
    <w:rsid w:val="009D3647"/>
    <w:rsid w:val="009D3CAA"/>
    <w:rsid w:val="009F45DB"/>
    <w:rsid w:val="00A20E93"/>
    <w:rsid w:val="00A2110E"/>
    <w:rsid w:val="00A22B36"/>
    <w:rsid w:val="00A236D1"/>
    <w:rsid w:val="00A300A0"/>
    <w:rsid w:val="00A369FD"/>
    <w:rsid w:val="00A37FA0"/>
    <w:rsid w:val="00A40A22"/>
    <w:rsid w:val="00A46F81"/>
    <w:rsid w:val="00A57121"/>
    <w:rsid w:val="00A768EC"/>
    <w:rsid w:val="00A8397A"/>
    <w:rsid w:val="00A9287D"/>
    <w:rsid w:val="00AA4B1B"/>
    <w:rsid w:val="00AB4A91"/>
    <w:rsid w:val="00AC17E3"/>
    <w:rsid w:val="00AC74A9"/>
    <w:rsid w:val="00AC764F"/>
    <w:rsid w:val="00AF55CA"/>
    <w:rsid w:val="00AF71E4"/>
    <w:rsid w:val="00B024E9"/>
    <w:rsid w:val="00B13B57"/>
    <w:rsid w:val="00B13D5A"/>
    <w:rsid w:val="00B20168"/>
    <w:rsid w:val="00B207BF"/>
    <w:rsid w:val="00B26566"/>
    <w:rsid w:val="00B30241"/>
    <w:rsid w:val="00B37251"/>
    <w:rsid w:val="00B45C54"/>
    <w:rsid w:val="00B5288A"/>
    <w:rsid w:val="00B6117B"/>
    <w:rsid w:val="00B657A8"/>
    <w:rsid w:val="00B671E5"/>
    <w:rsid w:val="00B67FE3"/>
    <w:rsid w:val="00B80C87"/>
    <w:rsid w:val="00BA0BC8"/>
    <w:rsid w:val="00BB6D65"/>
    <w:rsid w:val="00BD7869"/>
    <w:rsid w:val="00BE09F3"/>
    <w:rsid w:val="00BF36FD"/>
    <w:rsid w:val="00C15264"/>
    <w:rsid w:val="00C2078B"/>
    <w:rsid w:val="00C450B1"/>
    <w:rsid w:val="00C56556"/>
    <w:rsid w:val="00C63141"/>
    <w:rsid w:val="00C70487"/>
    <w:rsid w:val="00C7564D"/>
    <w:rsid w:val="00C776FF"/>
    <w:rsid w:val="00C96149"/>
    <w:rsid w:val="00CB1382"/>
    <w:rsid w:val="00CB186A"/>
    <w:rsid w:val="00CE0714"/>
    <w:rsid w:val="00CE1A2F"/>
    <w:rsid w:val="00CE366C"/>
    <w:rsid w:val="00D16BB3"/>
    <w:rsid w:val="00D25021"/>
    <w:rsid w:val="00D341A3"/>
    <w:rsid w:val="00D45601"/>
    <w:rsid w:val="00D51AA0"/>
    <w:rsid w:val="00D525B2"/>
    <w:rsid w:val="00D60322"/>
    <w:rsid w:val="00D66C59"/>
    <w:rsid w:val="00D75D26"/>
    <w:rsid w:val="00D8430E"/>
    <w:rsid w:val="00DA1244"/>
    <w:rsid w:val="00DB389B"/>
    <w:rsid w:val="00DB70BC"/>
    <w:rsid w:val="00DE4772"/>
    <w:rsid w:val="00DF3FB6"/>
    <w:rsid w:val="00DF6288"/>
    <w:rsid w:val="00E138BC"/>
    <w:rsid w:val="00E13C12"/>
    <w:rsid w:val="00E238A9"/>
    <w:rsid w:val="00E23D42"/>
    <w:rsid w:val="00E45104"/>
    <w:rsid w:val="00E50593"/>
    <w:rsid w:val="00E6023C"/>
    <w:rsid w:val="00E644DC"/>
    <w:rsid w:val="00E64CCF"/>
    <w:rsid w:val="00EA0A40"/>
    <w:rsid w:val="00EC3973"/>
    <w:rsid w:val="00ED0890"/>
    <w:rsid w:val="00EE2467"/>
    <w:rsid w:val="00EF4FD7"/>
    <w:rsid w:val="00F16BC2"/>
    <w:rsid w:val="00F35411"/>
    <w:rsid w:val="00F42182"/>
    <w:rsid w:val="00F42EE7"/>
    <w:rsid w:val="00F453CF"/>
    <w:rsid w:val="00F5383B"/>
    <w:rsid w:val="00F6095F"/>
    <w:rsid w:val="00F64621"/>
    <w:rsid w:val="00F65AD6"/>
    <w:rsid w:val="00F66D7C"/>
    <w:rsid w:val="00FC7A16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F418"/>
  <w15:chartTrackingRefBased/>
  <w15:docId w15:val="{228CD1D5-75E0-4EFF-A7E7-5956950EC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4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3A86"/>
  </w:style>
  <w:style w:type="paragraph" w:styleId="Stopka">
    <w:name w:val="footer"/>
    <w:basedOn w:val="Normalny"/>
    <w:link w:val="StopkaZnak"/>
    <w:uiPriority w:val="99"/>
    <w:unhideWhenUsed/>
    <w:rsid w:val="00143A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3A86"/>
  </w:style>
  <w:style w:type="paragraph" w:styleId="Akapitzlist">
    <w:name w:val="List Paragraph"/>
    <w:basedOn w:val="Normalny"/>
    <w:uiPriority w:val="34"/>
    <w:qFormat/>
    <w:rsid w:val="005249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F6462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621"/>
    <w:rPr>
      <w:color w:val="605E5C"/>
      <w:shd w:val="clear" w:color="auto" w:fill="E1DFDD"/>
    </w:rPr>
  </w:style>
  <w:style w:type="character" w:customStyle="1" w:styleId="Bodytext3">
    <w:name w:val="Body text (3)_"/>
    <w:basedOn w:val="Domylnaczcionkaakapitu"/>
    <w:link w:val="Bodytext30"/>
    <w:rsid w:val="00E644DC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Bodytext3TimesNewRoman115ptSpacing0pt">
    <w:name w:val="Body text (3) + Times New Roman;11;5 pt;Spacing 0 pt"/>
    <w:basedOn w:val="Bodytext3"/>
    <w:rsid w:val="00E644DC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E644DC"/>
    <w:pPr>
      <w:shd w:val="clear" w:color="auto" w:fill="FFFFFF"/>
      <w:spacing w:after="180" w:line="0" w:lineRule="atLeast"/>
      <w:ind w:hanging="280"/>
    </w:pPr>
    <w:rPr>
      <w:rFonts w:ascii="Arial" w:eastAsia="Arial" w:hAnsi="Arial" w:cs="Arial"/>
      <w:sz w:val="17"/>
      <w:szCs w:val="17"/>
    </w:rPr>
  </w:style>
  <w:style w:type="character" w:customStyle="1" w:styleId="Bodytext10">
    <w:name w:val="Body text (10)_"/>
    <w:basedOn w:val="Domylnaczcionkaakapitu"/>
    <w:rsid w:val="00E64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123">
    <w:name w:val="Heading #12 (3)_"/>
    <w:basedOn w:val="Domylnaczcionkaakapitu"/>
    <w:link w:val="Heading1230"/>
    <w:rsid w:val="00E644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0">
    <w:name w:val="Body text (10)"/>
    <w:basedOn w:val="Bodytext10"/>
    <w:rsid w:val="00E644D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paragraph" w:customStyle="1" w:styleId="Heading1230">
    <w:name w:val="Heading #12 (3)"/>
    <w:basedOn w:val="Normalny"/>
    <w:link w:val="Heading123"/>
    <w:rsid w:val="00E644DC"/>
    <w:pPr>
      <w:shd w:val="clear" w:color="auto" w:fill="FFFFFF"/>
      <w:spacing w:before="180" w:after="1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BoldItalic">
    <w:name w:val="Body text + Bold;Italic"/>
    <w:basedOn w:val="Domylnaczcionkaakapitu"/>
    <w:rsid w:val="00E644DC"/>
    <w:rPr>
      <w:rFonts w:ascii="Arial" w:eastAsia="Arial" w:hAnsi="Arial" w:cs="Arial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BodytextBold">
    <w:name w:val="Body text + Bold"/>
    <w:basedOn w:val="Domylnaczcionkaakapitu"/>
    <w:rsid w:val="00E644DC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">
    <w:name w:val="Body text_"/>
    <w:basedOn w:val="Domylnaczcionkaakapitu"/>
    <w:link w:val="Tekstpodstawowy9"/>
    <w:rsid w:val="00E644DC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BodytextItalic">
    <w:name w:val="Body text + Italic"/>
    <w:basedOn w:val="Bodytext"/>
    <w:rsid w:val="00E644DC"/>
    <w:rPr>
      <w:rFonts w:ascii="Arial" w:eastAsia="Arial" w:hAnsi="Arial" w:cs="Arial"/>
      <w:i/>
      <w:iCs/>
      <w:sz w:val="19"/>
      <w:szCs w:val="19"/>
      <w:shd w:val="clear" w:color="auto" w:fill="FFFFFF"/>
    </w:rPr>
  </w:style>
  <w:style w:type="paragraph" w:customStyle="1" w:styleId="Tekstpodstawowy9">
    <w:name w:val="Tekst podstawowy9"/>
    <w:basedOn w:val="Normalny"/>
    <w:link w:val="Bodytext"/>
    <w:rsid w:val="00E644DC"/>
    <w:pPr>
      <w:shd w:val="clear" w:color="auto" w:fill="FFFFFF"/>
      <w:spacing w:after="0" w:line="0" w:lineRule="atLeast"/>
      <w:ind w:hanging="920"/>
    </w:pPr>
    <w:rPr>
      <w:rFonts w:ascii="Arial" w:eastAsia="Arial" w:hAnsi="Arial" w:cs="Arial"/>
      <w:sz w:val="19"/>
      <w:szCs w:val="19"/>
    </w:rPr>
  </w:style>
  <w:style w:type="character" w:customStyle="1" w:styleId="Tekstpodstawowy2">
    <w:name w:val="Tekst podstawowy2"/>
    <w:basedOn w:val="Bodytext"/>
    <w:rsid w:val="00E644D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9"/>
      <w:szCs w:val="19"/>
      <w:u w:val="single"/>
      <w:shd w:val="clear" w:color="auto" w:fill="FFFFFF"/>
    </w:rPr>
  </w:style>
  <w:style w:type="character" w:customStyle="1" w:styleId="Bodytext44">
    <w:name w:val="Body text (44)_"/>
    <w:basedOn w:val="Domylnaczcionkaakapitu"/>
    <w:link w:val="Bodytext440"/>
    <w:rsid w:val="001A274E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Bodytext44Arial85pt">
    <w:name w:val="Body text (44) + Arial;8;5 pt"/>
    <w:basedOn w:val="Bodytext44"/>
    <w:rsid w:val="001A274E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440">
    <w:name w:val="Body text (44)"/>
    <w:basedOn w:val="Normalny"/>
    <w:link w:val="Bodytext44"/>
    <w:rsid w:val="001A274E"/>
    <w:pPr>
      <w:shd w:val="clear" w:color="auto" w:fill="FFFFFF"/>
      <w:spacing w:before="180" w:after="0" w:line="0" w:lineRule="atLeast"/>
    </w:pPr>
    <w:rPr>
      <w:rFonts w:ascii="Calibri" w:eastAsia="Calibri" w:hAnsi="Calibri" w:cs="Calibri"/>
      <w:sz w:val="19"/>
      <w:szCs w:val="19"/>
    </w:rPr>
  </w:style>
  <w:style w:type="character" w:customStyle="1" w:styleId="Bodytext47">
    <w:name w:val="Body text (47)_"/>
    <w:basedOn w:val="Domylnaczcionkaakapitu"/>
    <w:rsid w:val="001A274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470">
    <w:name w:val="Body text (47)"/>
    <w:basedOn w:val="Bodytext47"/>
    <w:rsid w:val="001A274E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5">
    <w:name w:val="Body text (5)_"/>
    <w:basedOn w:val="Domylnaczcionkaakapitu"/>
    <w:rsid w:val="0061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Bodytext6">
    <w:name w:val="Body text (6)_"/>
    <w:basedOn w:val="Domylnaczcionkaakapitu"/>
    <w:link w:val="Bodytext60"/>
    <w:rsid w:val="00612A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0">
    <w:name w:val="Body text (5)"/>
    <w:basedOn w:val="Bodytext5"/>
    <w:rsid w:val="00612A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paragraph" w:customStyle="1" w:styleId="Bodytext60">
    <w:name w:val="Body text (6)"/>
    <w:basedOn w:val="Normalny"/>
    <w:link w:val="Bodytext6"/>
    <w:rsid w:val="00612AE2"/>
    <w:pPr>
      <w:shd w:val="clear" w:color="auto" w:fill="FFFFFF"/>
      <w:spacing w:before="480" w:after="240" w:line="40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19">
    <w:name w:val="Body text (19)_"/>
    <w:basedOn w:val="Domylnaczcionkaakapitu"/>
    <w:link w:val="Bodytext190"/>
    <w:rsid w:val="00612AE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190">
    <w:name w:val="Body text (19)"/>
    <w:basedOn w:val="Normalny"/>
    <w:link w:val="Bodytext19"/>
    <w:rsid w:val="00612AE2"/>
    <w:pPr>
      <w:shd w:val="clear" w:color="auto" w:fill="FFFFFF"/>
      <w:spacing w:after="0" w:line="0" w:lineRule="atLeast"/>
      <w:ind w:hanging="880"/>
    </w:pPr>
    <w:rPr>
      <w:rFonts w:ascii="Arial" w:eastAsia="Arial" w:hAnsi="Arial" w:cs="Arial"/>
      <w:sz w:val="18"/>
      <w:szCs w:val="18"/>
    </w:rPr>
  </w:style>
  <w:style w:type="character" w:customStyle="1" w:styleId="Bodytext15">
    <w:name w:val="Body text (15)_"/>
    <w:basedOn w:val="Domylnaczcionkaakapitu"/>
    <w:link w:val="Bodytext150"/>
    <w:rsid w:val="00612AE2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Bodytext1511ptBold">
    <w:name w:val="Body text (15) + 11 pt;Bold"/>
    <w:basedOn w:val="Bodytext15"/>
    <w:rsid w:val="00612AE2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Bodytext150">
    <w:name w:val="Body text (15)"/>
    <w:basedOn w:val="Normalny"/>
    <w:link w:val="Bodytext15"/>
    <w:rsid w:val="00612AE2"/>
    <w:pPr>
      <w:shd w:val="clear" w:color="auto" w:fill="FFFFFF"/>
      <w:spacing w:after="0" w:line="0" w:lineRule="atLeast"/>
    </w:pPr>
    <w:rPr>
      <w:rFonts w:ascii="Arial" w:eastAsia="Arial" w:hAnsi="Arial" w:cs="Arial"/>
      <w:sz w:val="20"/>
      <w:szCs w:val="20"/>
    </w:rPr>
  </w:style>
  <w:style w:type="character" w:customStyle="1" w:styleId="Bodytext12">
    <w:name w:val="Body text (12)_"/>
    <w:basedOn w:val="Domylnaczcionkaakapitu"/>
    <w:link w:val="Bodytext120"/>
    <w:rsid w:val="00A236D1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Bodytext120">
    <w:name w:val="Body text (12)"/>
    <w:basedOn w:val="Normalny"/>
    <w:link w:val="Bodytext12"/>
    <w:rsid w:val="00A236D1"/>
    <w:pPr>
      <w:shd w:val="clear" w:color="auto" w:fill="FFFFFF"/>
      <w:spacing w:after="240" w:line="284" w:lineRule="exact"/>
      <w:ind w:hanging="600"/>
    </w:pPr>
    <w:rPr>
      <w:rFonts w:ascii="Arial" w:eastAsia="Arial" w:hAnsi="Arial" w:cs="Arial"/>
      <w:sz w:val="17"/>
      <w:szCs w:val="17"/>
    </w:rPr>
  </w:style>
  <w:style w:type="character" w:customStyle="1" w:styleId="Bodytext3NotItalic">
    <w:name w:val="Body text (3) + Not Italic"/>
    <w:basedOn w:val="Bodytext3"/>
    <w:rsid w:val="00A236D1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17"/>
      <w:szCs w:val="17"/>
      <w:shd w:val="clear" w:color="auto" w:fill="FFFFFF"/>
    </w:rPr>
  </w:style>
  <w:style w:type="character" w:customStyle="1" w:styleId="Bodytext48">
    <w:name w:val="Body text (48)_"/>
    <w:basedOn w:val="Domylnaczcionkaakapitu"/>
    <w:link w:val="Bodytext480"/>
    <w:rsid w:val="00F453CF"/>
    <w:rPr>
      <w:rFonts w:ascii="Arial" w:eastAsia="Arial" w:hAnsi="Arial" w:cs="Arial"/>
      <w:sz w:val="13"/>
      <w:szCs w:val="13"/>
      <w:shd w:val="clear" w:color="auto" w:fill="FFFFFF"/>
    </w:rPr>
  </w:style>
  <w:style w:type="character" w:customStyle="1" w:styleId="Bodytext46">
    <w:name w:val="Body text (46)_"/>
    <w:basedOn w:val="Domylnaczcionkaakapitu"/>
    <w:rsid w:val="00F453C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Bodytext4685ptBold">
    <w:name w:val="Body text (46) + 8;5 pt;Bold"/>
    <w:basedOn w:val="Bodytext46"/>
    <w:rsid w:val="00F453CF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7"/>
      <w:szCs w:val="17"/>
    </w:rPr>
  </w:style>
  <w:style w:type="character" w:customStyle="1" w:styleId="Bodytext460">
    <w:name w:val="Body text (46)"/>
    <w:basedOn w:val="Bodytext46"/>
    <w:rsid w:val="00F453C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paragraph" w:customStyle="1" w:styleId="Bodytext480">
    <w:name w:val="Body text (48)"/>
    <w:basedOn w:val="Normalny"/>
    <w:link w:val="Bodytext48"/>
    <w:rsid w:val="00F453CF"/>
    <w:pPr>
      <w:shd w:val="clear" w:color="auto" w:fill="FFFFFF"/>
      <w:spacing w:after="240" w:line="166" w:lineRule="exact"/>
    </w:pPr>
    <w:rPr>
      <w:rFonts w:ascii="Arial" w:eastAsia="Arial" w:hAnsi="Arial" w:cs="Arial"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22</Pages>
  <Words>5076</Words>
  <Characters>30460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Ochowiak</dc:creator>
  <cp:keywords/>
  <dc:description/>
  <cp:lastModifiedBy>Adrian Ochowiak</cp:lastModifiedBy>
  <cp:revision>15</cp:revision>
  <dcterms:created xsi:type="dcterms:W3CDTF">2025-09-29T06:37:00Z</dcterms:created>
  <dcterms:modified xsi:type="dcterms:W3CDTF">2026-01-20T10:15:00Z</dcterms:modified>
</cp:coreProperties>
</file>